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eastAsia"/>
          <w:b/>
          <w:sz w:val="44"/>
          <w:szCs w:val="44"/>
          <w:lang w:eastAsia="zh-CN"/>
        </w:rPr>
      </w:pPr>
      <w:r>
        <w:rPr>
          <w:b/>
          <w:sz w:val="44"/>
          <w:szCs w:val="44"/>
        </w:rPr>
        <w:t>廊坊市</w:t>
      </w:r>
      <w:r>
        <w:rPr>
          <w:rFonts w:hint="eastAsia"/>
          <w:b/>
          <w:sz w:val="44"/>
          <w:szCs w:val="44"/>
          <w:lang w:eastAsia="zh-CN"/>
        </w:rPr>
        <w:t>大厂回族自治县退役军人事务局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keepNext w:val="0"/>
        <w:keepLines w:val="0"/>
        <w:pageBreakBefore w:val="0"/>
        <w:widowControl/>
        <w:kinsoku/>
        <w:wordWrap/>
        <w:overflowPunct/>
        <w:topLinePunct w:val="0"/>
        <w:autoSpaceDE/>
        <w:autoSpaceDN/>
        <w:bidi w:val="0"/>
        <w:adjustRightInd/>
        <w:snapToGrid/>
        <w:spacing w:after="160" w:line="520" w:lineRule="exact"/>
        <w:ind w:firstLine="1273" w:firstLineChars="398"/>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keepNext w:val="0"/>
        <w:keepLines w:val="0"/>
        <w:pageBreakBefore w:val="0"/>
        <w:widowControl/>
        <w:kinsoku/>
        <w:wordWrap/>
        <w:overflowPunct/>
        <w:topLinePunct w:val="0"/>
        <w:autoSpaceDE/>
        <w:autoSpaceDN/>
        <w:bidi w:val="0"/>
        <w:adjustRightInd/>
        <w:snapToGrid/>
        <w:spacing w:after="160" w:line="520" w:lineRule="exact"/>
        <w:ind w:firstLine="1273" w:firstLineChars="398"/>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6"/>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贯彻执行国家和省市思想政治、管理保障和安置优抚等工作政策法规。拟订全县退役军人思想政治、管理保障和安置优抚等地方性政策并组织实施，褒扬彰显退役军人为党、国家和人民牺牲奉献的精神风范和价值导向。</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(二)负责全县军队转业干部、复员干部、离退休干部、退役士兵、符合条件消防员和无军籍退休退职职工的移交安置工作以及自主择业、就业退役军人的服务管理工作。</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(三)组织指导退役军人教育培训工作，协调扶持退役军人和随军随调家属就业创业。</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(四)会同有关部门按照全市退役军人特殊保障政策、企业中军队转业干部的解困政策，抓好贯彻落实并组织实施。</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(五)组织协调落实移交地方的离退休军人、符合条件的其他退役军人和无军籍退休退职职工的住房保障工作，以及退役军人医疗保障、社会保险等待遇保障工作。</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(六)组织指导伤病残退役军人服务管理和抚恤工作。按照上级有关退役军人医疗、疗养、养老等机构的规划政策，做好组织实施；承担不适宜继续服役的伤病残军人相关工作；组织指导军供服务保障工作。</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七)组织指导全县拥军优属工作。负责现役军人、退役军人、军队文职人员、军属和符合条件的国家机关工作人员、人民警察、参战民兵民工、消防员等全县优抚对象的优待、抚恤等工作，组织落实国民党抗战老兵等有关人员优待政策</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八)负责烈士及退役军人荣誉奖励、军人公墓管理维护、纪念活动等工作。依法承担英雄烈士保护相关工作，申报拟列入全国和省级重点保护单位的烈士纪念建筑物名录，审核拟列入县级重点保护单位的烈士纪念建筑物名录，总结表彰和宣扬退役军人、退役军人工作单位和个人先进典型事迹。</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(九)指导并监督检查退役军人相关法律法规和政策措施的落实，组织开展退役军人权益维护和有关人员的帮扶援助工作。</w:t>
      </w:r>
    </w:p>
    <w:p>
      <w:pPr>
        <w:spacing w:line="60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(十)完成县委、县政府交办的其他任务。</w:t>
      </w:r>
    </w:p>
    <w:p>
      <w:pPr>
        <w:widowControl/>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从决算编报单位构成看，纳入2019 年度本部门决算汇编范围的独立核算单位（以下简称“单位”）共</w:t>
      </w:r>
      <w:r>
        <w:rPr>
          <w:rFonts w:hint="eastAsia" w:ascii="仿宋_GB2312" w:hAnsi="Calibri" w:eastAsia="仿宋_GB2312" w:cs="ArialUnicodeMS"/>
          <w:color w:val="000000" w:themeColor="text1"/>
          <w:kern w:val="0"/>
          <w:sz w:val="32"/>
          <w:szCs w:val="32"/>
          <w:lang w:val="en-US" w:eastAsia="zh-CN"/>
          <w14:textFill>
            <w14:solidFill>
              <w14:schemeClr w14:val="tx1"/>
            </w14:solidFill>
          </w14:textFill>
        </w:rPr>
        <w:t>1</w:t>
      </w:r>
      <w:r>
        <w:rPr>
          <w:rFonts w:hint="eastAsia" w:ascii="仿宋_GB2312" w:hAnsi="Calibri" w:eastAsia="仿宋_GB2312" w:cs="ArialUnicodeMS"/>
          <w:color w:val="000000" w:themeColor="text1"/>
          <w:kern w:val="0"/>
          <w:sz w:val="32"/>
          <w:szCs w:val="32"/>
          <w14:textFill>
            <w14:solidFill>
              <w14:schemeClr w14:val="tx1"/>
            </w14:solidFill>
          </w14:textFill>
        </w:rPr>
        <w:t>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序号</w:t>
            </w:r>
          </w:p>
        </w:tc>
        <w:tc>
          <w:tcPr>
            <w:tcW w:w="348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单位名称</w:t>
            </w:r>
          </w:p>
        </w:tc>
        <w:tc>
          <w:tcPr>
            <w:tcW w:w="244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单位基本性质</w:t>
            </w:r>
          </w:p>
        </w:tc>
        <w:tc>
          <w:tcPr>
            <w:tcW w:w="266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libri" w:eastAsia="仿宋_GB2312" w:cs="ArialUnicodeMS"/>
                <w:color w:val="000000" w:themeColor="text1"/>
                <w:kern w:val="0"/>
                <w:sz w:val="28"/>
                <w:szCs w:val="28"/>
                <w14:textFill>
                  <w14:solidFill>
                    <w14:schemeClr w14:val="tx1"/>
                  </w14:solidFill>
                </w14:textFill>
              </w:rPr>
              <w:t>1</w:t>
            </w:r>
          </w:p>
        </w:tc>
        <w:tc>
          <w:tcPr>
            <w:tcW w:w="3485" w:type="dxa"/>
            <w:vAlign w:val="top"/>
          </w:tcPr>
          <w:p>
            <w:pPr>
              <w:spacing w:after="0" w:line="560" w:lineRule="exact"/>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mbria" w:eastAsia="仿宋_GB2312" w:cs="ArialUnicodeMS"/>
                <w:kern w:val="0"/>
                <w:sz w:val="28"/>
                <w:szCs w:val="28"/>
                <w:lang w:eastAsia="zh-CN"/>
              </w:rPr>
              <w:t>大厂回族自治县退役军人事务局</w:t>
            </w:r>
            <w:r>
              <w:rPr>
                <w:rFonts w:hint="eastAsia" w:ascii="仿宋_GB2312" w:hAnsi="Cambria" w:eastAsia="仿宋_GB2312" w:cs="ArialUnicodeMS"/>
                <w:kern w:val="0"/>
                <w:sz w:val="28"/>
                <w:szCs w:val="28"/>
              </w:rPr>
              <w:t>(本级)</w:t>
            </w:r>
          </w:p>
        </w:tc>
        <w:tc>
          <w:tcPr>
            <w:tcW w:w="2445" w:type="dxa"/>
            <w:vAlign w:val="top"/>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mbria" w:eastAsia="仿宋_GB2312" w:cs="ArialUnicodeMS"/>
                <w:kern w:val="0"/>
                <w:sz w:val="28"/>
                <w:szCs w:val="28"/>
                <w:lang w:eastAsia="zh-CN"/>
              </w:rPr>
              <w:t>行政单位</w:t>
            </w:r>
          </w:p>
        </w:tc>
        <w:tc>
          <w:tcPr>
            <w:tcW w:w="2665" w:type="dxa"/>
            <w:vAlign w:val="top"/>
          </w:tcPr>
          <w:p>
            <w:pPr>
              <w:spacing w:after="0"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color w:val="000000" w:themeColor="text1"/>
                <w:kern w:val="0"/>
                <w:sz w:val="28"/>
                <w:szCs w:val="28"/>
                <w14:textFill>
                  <w14:solidFill>
                    <w14:schemeClr w14:val="tx1"/>
                  </w14:solidFill>
                </w14:textFill>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6"/>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年度收支总计（含结转和结余）</w:t>
      </w:r>
      <w:r>
        <w:rPr>
          <w:rFonts w:hint="eastAsia" w:ascii="仿宋_GB2312" w:eastAsia="仿宋_GB2312" w:cs="DengXian-Regular"/>
          <w:sz w:val="32"/>
          <w:szCs w:val="32"/>
          <w:lang w:val="en-US" w:eastAsia="zh-CN"/>
        </w:rPr>
        <w:t>2310.81</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本部门为</w:t>
      </w:r>
      <w:r>
        <w:rPr>
          <w:rFonts w:hint="eastAsia" w:ascii="仿宋_GB2312" w:eastAsia="仿宋_GB2312" w:cs="DengXian-Regular"/>
          <w:sz w:val="32"/>
          <w:szCs w:val="32"/>
          <w:lang w:val="en-US" w:eastAsia="zh-CN"/>
        </w:rPr>
        <w:t>2019年新成立部门，决算数据无法</w:t>
      </w:r>
      <w:r>
        <w:rPr>
          <w:rFonts w:hint="eastAsia" w:ascii="仿宋_GB2312" w:eastAsia="仿宋_GB2312" w:cs="DengXian-Regular"/>
          <w:sz w:val="32"/>
          <w:szCs w:val="32"/>
        </w:rPr>
        <w:t>与</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年度决算相比</w:t>
      </w:r>
      <w:r>
        <w:rPr>
          <w:rFonts w:hint="eastAsia" w:ascii="仿宋_GB2312"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2207.67</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2207.67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%。如图所示：</w:t>
      </w:r>
    </w:p>
    <w:p>
      <w:pPr>
        <w:adjustRightInd w:val="0"/>
        <w:snapToGrid w:val="0"/>
        <w:spacing w:line="580" w:lineRule="exact"/>
        <w:ind w:firstLine="1260" w:firstLineChars="600"/>
        <w:rPr>
          <w:rFonts w:ascii="仿宋_GB2312" w:hAnsi="Times New Roman" w:eastAsia="仿宋_GB2312" w:cs="DengXian-Regular"/>
          <w:color w:val="000000" w:themeColor="text1"/>
          <w:sz w:val="32"/>
          <w:szCs w:val="32"/>
          <w14:textFill>
            <w14:solidFill>
              <w14:schemeClr w14:val="tx1"/>
            </w14:solidFill>
          </w14:textFill>
        </w:rPr>
      </w:pPr>
      <w:r>
        <w:drawing>
          <wp:anchor distT="0" distB="0" distL="114300" distR="114300" simplePos="0" relativeHeight="437284864" behindDoc="0" locked="0" layoutInCell="1" allowOverlap="1">
            <wp:simplePos x="0" y="0"/>
            <wp:positionH relativeFrom="column">
              <wp:posOffset>536575</wp:posOffset>
            </wp:positionH>
            <wp:positionV relativeFrom="paragraph">
              <wp:posOffset>268605</wp:posOffset>
            </wp:positionV>
            <wp:extent cx="4572000" cy="2819400"/>
            <wp:effectExtent l="4445" t="4445" r="14605" b="14605"/>
            <wp:wrapNone/>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2029.47</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164.9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8.13</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1864.56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91.87</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line="580" w:lineRule="exact"/>
        <w:ind w:firstLine="1260" w:firstLineChars="600"/>
        <w:rPr>
          <w:rFonts w:ascii="仿宋_GB2312" w:hAnsi="Times New Roman" w:eastAsia="仿宋_GB2312" w:cs="DengXian-Regular"/>
          <w:color w:val="000000" w:themeColor="text1"/>
          <w:sz w:val="32"/>
          <w:szCs w:val="32"/>
          <w14:textFill>
            <w14:solidFill>
              <w14:schemeClr w14:val="tx1"/>
            </w14:solidFill>
          </w14:textFill>
        </w:rPr>
      </w:pPr>
      <w:r>
        <w:drawing>
          <wp:anchor distT="0" distB="0" distL="114300" distR="114300" simplePos="0" relativeHeight="437286912" behindDoc="0" locked="0" layoutInCell="1" allowOverlap="1">
            <wp:simplePos x="0" y="0"/>
            <wp:positionH relativeFrom="column">
              <wp:posOffset>561340</wp:posOffset>
            </wp:positionH>
            <wp:positionV relativeFrom="paragraph">
              <wp:posOffset>-234315</wp:posOffset>
            </wp:positionV>
            <wp:extent cx="4572000" cy="2819400"/>
            <wp:effectExtent l="4445" t="4445" r="14605" b="14605"/>
            <wp:wrapNone/>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3" w:firstLineChars="200"/>
        <w:outlineLvl w:val="1"/>
        <w:rPr>
          <w:rFonts w:ascii="黑体" w:hAnsi="Calibri" w:eastAsia="黑体" w:cs="Times New Roman"/>
          <w:b/>
          <w:bCs/>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hint="eastAsia" w:ascii="黑体" w:hAnsi="Calibri" w:eastAsia="黑体" w:cs="Times New Roman"/>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年度形成的财政拨款收支均为一般公共预算财政拨款，其中一般公共预算财政拨款本年收入</w:t>
      </w:r>
      <w:r>
        <w:rPr>
          <w:rFonts w:hint="eastAsia" w:ascii="仿宋_GB2312" w:eastAsia="仿宋_GB2312" w:cs="DengXian-Regular"/>
          <w:sz w:val="32"/>
          <w:szCs w:val="32"/>
          <w:lang w:val="en-US" w:eastAsia="zh-CN"/>
        </w:rPr>
        <w:t>2207.67</w:t>
      </w:r>
      <w:r>
        <w:rPr>
          <w:rFonts w:hint="eastAsia" w:ascii="仿宋_GB2312" w:eastAsia="仿宋_GB2312" w:cs="DengXian-Regular"/>
          <w:sz w:val="32"/>
          <w:szCs w:val="32"/>
        </w:rPr>
        <w:t>万元,本年支出</w:t>
      </w:r>
      <w:r>
        <w:rPr>
          <w:rFonts w:hint="eastAsia" w:ascii="仿宋_GB2312" w:eastAsia="仿宋_GB2312" w:cs="DengXian-Regular"/>
          <w:sz w:val="32"/>
          <w:szCs w:val="32"/>
          <w:lang w:val="en-US" w:eastAsia="zh-CN"/>
        </w:rPr>
        <w:t>2029.47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由于</w:t>
      </w:r>
      <w:r>
        <w:rPr>
          <w:rFonts w:hint="eastAsia" w:ascii="仿宋_GB2312" w:eastAsia="仿宋_GB2312" w:cs="DengXian-Regular"/>
          <w:sz w:val="32"/>
          <w:szCs w:val="32"/>
          <w:lang w:val="en-US" w:eastAsia="zh-CN"/>
        </w:rPr>
        <w:t>2019年新成立部门，无法与2018年数据对比。</w:t>
      </w: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2207.67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无年初预算，</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2207.67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均为预算调整数，</w:t>
      </w:r>
      <w:r>
        <w:rPr>
          <w:rFonts w:hint="eastAsia" w:ascii="仿宋_GB2312" w:eastAsia="仿宋_GB2312" w:cs="DengXian-Regular"/>
          <w:sz w:val="32"/>
          <w:szCs w:val="32"/>
        </w:rPr>
        <w:t>决算数大于预算数</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由于为</w:t>
      </w:r>
      <w:r>
        <w:rPr>
          <w:rFonts w:hint="eastAsia" w:ascii="仿宋_GB2312" w:eastAsia="仿宋_GB2312" w:cs="DengXian-Regular"/>
          <w:sz w:val="32"/>
          <w:szCs w:val="32"/>
          <w:lang w:val="en-US" w:eastAsia="zh-CN"/>
        </w:rPr>
        <w:t>2019年</w:t>
      </w:r>
      <w:r>
        <w:rPr>
          <w:rFonts w:hint="eastAsia" w:ascii="仿宋_GB2312" w:eastAsia="仿宋_GB2312" w:cs="DengXian-Regular"/>
          <w:sz w:val="32"/>
          <w:szCs w:val="32"/>
          <w:lang w:eastAsia="zh-CN"/>
        </w:rPr>
        <w:t>新增部门，无</w:t>
      </w:r>
      <w:r>
        <w:rPr>
          <w:rFonts w:hint="eastAsia" w:ascii="仿宋_GB2312" w:eastAsia="仿宋_GB2312" w:cs="DengXian-Regular"/>
          <w:sz w:val="32"/>
          <w:szCs w:val="32"/>
          <w:lang w:val="en-US" w:eastAsia="zh-CN"/>
        </w:rPr>
        <w:t>2019年预算，所有财政拨款收入均为原民政部门及原人力资源及社会保障部门划转资金</w:t>
      </w:r>
      <w:r>
        <w:rPr>
          <w:rFonts w:hint="eastAsia" w:ascii="仿宋_GB2312" w:eastAsia="仿宋_GB2312" w:cs="DengXian-Regular"/>
          <w:sz w:val="32"/>
          <w:szCs w:val="32"/>
          <w:lang w:eastAsia="zh-CN"/>
        </w:rPr>
        <w:t>；</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2029.47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rPr>
        <w:t>完成</w:t>
      </w:r>
      <w:r>
        <w:rPr>
          <w:rFonts w:hint="eastAsia" w:ascii="仿宋_GB2312" w:eastAsia="仿宋_GB2312" w:cs="DengXian-Regular"/>
          <w:sz w:val="32"/>
          <w:szCs w:val="32"/>
          <w:lang w:eastAsia="zh-CN"/>
        </w:rPr>
        <w:t>调整</w:t>
      </w:r>
      <w:r>
        <w:rPr>
          <w:rFonts w:hint="eastAsia" w:ascii="仿宋_GB2312" w:eastAsia="仿宋_GB2312" w:cs="DengXian-Regular"/>
          <w:sz w:val="32"/>
          <w:szCs w:val="32"/>
        </w:rPr>
        <w:t>预算的</w:t>
      </w:r>
      <w:r>
        <w:rPr>
          <w:rFonts w:hint="eastAsia" w:ascii="仿宋_GB2312" w:eastAsia="仿宋_GB2312" w:cs="DengXian-Regular"/>
          <w:sz w:val="32"/>
          <w:szCs w:val="32"/>
          <w:lang w:val="en-US" w:eastAsia="zh-CN"/>
        </w:rPr>
        <w:t>91.93</w:t>
      </w:r>
      <w:r>
        <w:rPr>
          <w:rFonts w:hint="eastAsia" w:ascii="仿宋_GB2312" w:eastAsia="仿宋_GB2312" w:cs="DengXian-Regular"/>
          <w:sz w:val="32"/>
          <w:szCs w:val="32"/>
        </w:rPr>
        <w:t>%，决算数小于</w:t>
      </w:r>
      <w:r>
        <w:rPr>
          <w:rFonts w:hint="eastAsia" w:ascii="仿宋_GB2312" w:eastAsia="仿宋_GB2312" w:cs="DengXian-Regular"/>
          <w:sz w:val="32"/>
          <w:szCs w:val="32"/>
          <w:lang w:eastAsia="zh-CN"/>
        </w:rPr>
        <w:t>调整</w:t>
      </w:r>
      <w:r>
        <w:rPr>
          <w:rFonts w:hint="eastAsia" w:ascii="仿宋_GB2312" w:eastAsia="仿宋_GB2312" w:cs="DengXian-Regular"/>
          <w:sz w:val="32"/>
          <w:szCs w:val="32"/>
        </w:rPr>
        <w:t>预算数</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剩余优抚对象抚恤金及生活补助、退役军人自主就业一次性经济补助金</w:t>
      </w:r>
      <w:r>
        <w:rPr>
          <w:rFonts w:hint="eastAsia" w:ascii="仿宋_GB2312"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w:t>
      </w:r>
      <w:r>
        <w:rPr>
          <w:rFonts w:hint="eastAsia" w:ascii="仿宋_GB2312" w:eastAsia="仿宋_GB2312" w:cs="DengXian-Regular"/>
          <w:sz w:val="32"/>
          <w:szCs w:val="32"/>
          <w:lang w:val="en-US" w:eastAsia="zh-CN"/>
        </w:rPr>
        <w:t>2029.47</w:t>
      </w:r>
      <w:r>
        <w:rPr>
          <w:rFonts w:hint="eastAsia" w:ascii="仿宋_GB2312" w:eastAsia="仿宋_GB2312" w:cs="DengXian-Regular"/>
          <w:sz w:val="32"/>
          <w:szCs w:val="32"/>
        </w:rPr>
        <w:t>万元，主要用于以下方面社会保障和就业（类）支出 2023.26万元，占</w:t>
      </w:r>
      <w:r>
        <w:rPr>
          <w:rFonts w:hint="eastAsia" w:ascii="仿宋_GB2312" w:eastAsia="仿宋_GB2312" w:cs="DengXian-Regular"/>
          <w:sz w:val="32"/>
          <w:szCs w:val="32"/>
          <w:lang w:val="en-US" w:eastAsia="zh-CN"/>
        </w:rPr>
        <w:t>99.69</w:t>
      </w:r>
      <w:r>
        <w:rPr>
          <w:rFonts w:hint="eastAsia" w:ascii="仿宋_GB2312" w:eastAsia="仿宋_GB2312" w:cs="DengXian-Regular"/>
          <w:sz w:val="32"/>
          <w:szCs w:val="32"/>
        </w:rPr>
        <w:t xml:space="preserve">%；医疗卫生与计划生育（类）支出 </w:t>
      </w:r>
      <w:r>
        <w:rPr>
          <w:rFonts w:hint="eastAsia" w:ascii="仿宋_GB2312" w:eastAsia="仿宋_GB2312" w:cs="DengXian-Regular"/>
          <w:sz w:val="32"/>
          <w:szCs w:val="32"/>
          <w:lang w:val="en-US" w:eastAsia="zh-CN"/>
        </w:rPr>
        <w:t>2.33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0.12</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3.88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0.19</w:t>
      </w:r>
      <w:r>
        <w:rPr>
          <w:rFonts w:hint="eastAsia" w:ascii="仿宋_GB2312" w:eastAsia="仿宋_GB2312" w:cs="DengXian-Regular"/>
          <w:sz w:val="32"/>
          <w:szCs w:val="32"/>
        </w:rPr>
        <w:t>%。</w:t>
      </w: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r>
        <w:drawing>
          <wp:anchor distT="0" distB="0" distL="114300" distR="114300" simplePos="0" relativeHeight="437289984" behindDoc="0" locked="0" layoutInCell="1" allowOverlap="1">
            <wp:simplePos x="0" y="0"/>
            <wp:positionH relativeFrom="column">
              <wp:posOffset>634365</wp:posOffset>
            </wp:positionH>
            <wp:positionV relativeFrom="paragraph">
              <wp:posOffset>85090</wp:posOffset>
            </wp:positionV>
            <wp:extent cx="4572000" cy="2743200"/>
            <wp:effectExtent l="4445" t="4445" r="14605" b="14605"/>
            <wp:wrapNone/>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ind w:left="420" w:leftChars="200"/>
        <w:rPr>
          <w:rFonts w:hint="eastAsia"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164.9</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99.04</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65.86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w:t>
      </w:r>
      <w:r>
        <w:rPr>
          <w:rFonts w:hint="eastAsia" w:ascii="仿宋_GB2312" w:hAnsi="Times New Roman" w:eastAsia="仿宋_GB2312" w:cs="DengXian-Regular"/>
          <w:color w:val="000000" w:themeColor="text1"/>
          <w:sz w:val="32"/>
          <w:szCs w:val="32"/>
          <w14:textFill>
            <w14:solidFill>
              <w14:schemeClr w14:val="tx1"/>
            </w14:solidFill>
          </w14:textFill>
        </w:rPr>
        <w:t>2019年度“三公”经费支出共计</w:t>
      </w:r>
      <w:r>
        <w:rPr>
          <w:rFonts w:hint="eastAsia" w:eastAsia="仿宋_GB2312"/>
          <w:sz w:val="32"/>
          <w:szCs w:val="32"/>
          <w:lang w:val="en-US" w:eastAsia="zh-CN"/>
        </w:rPr>
        <w:t>0.62</w:t>
      </w:r>
      <w:r>
        <w:rPr>
          <w:rFonts w:eastAsia="仿宋_GB2312"/>
          <w:sz w:val="32"/>
          <w:szCs w:val="32"/>
        </w:rPr>
        <w:t>万元，</w:t>
      </w:r>
      <w:r>
        <w:rPr>
          <w:rFonts w:hint="eastAsia" w:eastAsia="仿宋_GB2312"/>
          <w:sz w:val="32"/>
          <w:szCs w:val="32"/>
          <w:lang w:val="en-US" w:eastAsia="zh-CN"/>
        </w:rPr>
        <w:t>调整预算数0.62万元，</w:t>
      </w:r>
      <w:r>
        <w:rPr>
          <w:rFonts w:hint="eastAsia" w:ascii="仿宋_GB2312" w:hAnsi="Times New Roman" w:eastAsia="仿宋_GB2312" w:cs="DengXian-Regular"/>
          <w:color w:val="000000" w:themeColor="text1"/>
          <w:sz w:val="32"/>
          <w:szCs w:val="32"/>
          <w14:textFill>
            <w14:solidFill>
              <w14:schemeClr w14:val="tx1"/>
            </w14:solidFill>
          </w14:textFill>
        </w:rPr>
        <w:t>完成</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调整</w:t>
      </w:r>
      <w:r>
        <w:rPr>
          <w:rFonts w:hint="eastAsia" w:ascii="仿宋_GB2312" w:hAnsi="Times New Roman" w:eastAsia="仿宋_GB2312" w:cs="DengXian-Regular"/>
          <w:color w:val="000000" w:themeColor="text1"/>
          <w:sz w:val="32"/>
          <w:szCs w:val="32"/>
          <w14:textFill>
            <w14:solidFill>
              <w14:schemeClr w14:val="tx1"/>
            </w14:solidFill>
          </w14:textFill>
        </w:rPr>
        <w:t>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%,较预算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w:t>
      </w:r>
      <w:r>
        <w:rPr>
          <w:rFonts w:hint="eastAsia" w:ascii="仿宋_GB2312" w:hAnsi="Times New Roman" w:eastAsia="仿宋_GB2312" w:cs="DengXian-Regular"/>
          <w:color w:val="000000" w:themeColor="text1"/>
          <w:sz w:val="32"/>
          <w:szCs w:val="32"/>
          <w14:textFill>
            <w14:solidFill>
              <w14:schemeClr w14:val="tx1"/>
            </w14:solidFill>
          </w14:textFill>
        </w:rPr>
        <w:t>增减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变化</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eastAsia="仿宋_GB2312"/>
          <w:sz w:val="32"/>
          <w:szCs w:val="32"/>
          <w:lang w:eastAsia="zh-CN"/>
        </w:rPr>
        <w:t>由于为</w:t>
      </w:r>
      <w:r>
        <w:rPr>
          <w:rFonts w:hint="eastAsia" w:eastAsia="仿宋_GB2312"/>
          <w:sz w:val="32"/>
          <w:szCs w:val="32"/>
          <w:lang w:val="en-US" w:eastAsia="zh-CN"/>
        </w:rPr>
        <w:t>2019年新成立部门无2018年数据，无法与2018年度比较</w:t>
      </w:r>
      <w:r>
        <w:rPr>
          <w:rFonts w:eastAsia="仿宋_GB2312"/>
          <w:sz w:val="32"/>
          <w:szCs w:val="32"/>
        </w:rPr>
        <w:t>。具体情况如下：</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eastAsia="楷体_GB2312"/>
          <w:b/>
          <w:bCs/>
          <w:sz w:val="32"/>
          <w:szCs w:val="32"/>
          <w:lang w:eastAsia="zh-CN"/>
        </w:rPr>
        <w:t>（一）</w:t>
      </w: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人参加</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14:textFill>
            <w14:solidFill>
              <w14:schemeClr w14:val="tx1"/>
            </w14:solidFill>
          </w14:textFill>
        </w:rPr>
        <w:t>其他单位组织的因公出国（境）团组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参加</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14:textFill>
            <w14:solidFill>
              <w14:schemeClr w14:val="tx1"/>
            </w14:solidFill>
          </w14:textFill>
        </w:rPr>
        <w:t>无本单位组织的出国（境）团组。因公出国（境）费支出较预算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w:t>
      </w:r>
      <w:r>
        <w:rPr>
          <w:rFonts w:hint="eastAsia" w:eastAsia="仿宋_GB2312"/>
          <w:sz w:val="32"/>
          <w:szCs w:val="32"/>
          <w:lang w:eastAsia="zh-CN"/>
        </w:rPr>
        <w:t>由于为</w:t>
      </w:r>
      <w:r>
        <w:rPr>
          <w:rFonts w:hint="eastAsia" w:eastAsia="仿宋_GB2312"/>
          <w:sz w:val="32"/>
          <w:szCs w:val="32"/>
          <w:lang w:val="en-US" w:eastAsia="zh-CN"/>
        </w:rPr>
        <w:t>2019年新成立部门无2018年数据，无法与2018年度比较</w:t>
      </w:r>
      <w:r>
        <w:rPr>
          <w:rFonts w:eastAsia="仿宋_GB2312"/>
          <w:sz w:val="32"/>
          <w:szCs w:val="32"/>
        </w:rPr>
        <w:t>。</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0.59</w:t>
      </w:r>
      <w:r>
        <w:rPr>
          <w:rFonts w:eastAsia="楷体_GB2312"/>
          <w:b/>
          <w:bCs/>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本部门2019年度公务用车购置及运行维护费较预算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eastAsia="仿宋_GB2312"/>
          <w:sz w:val="32"/>
          <w:szCs w:val="32"/>
          <w:lang w:eastAsia="zh-CN"/>
        </w:rPr>
        <w:t>由于为</w:t>
      </w:r>
      <w:r>
        <w:rPr>
          <w:rFonts w:hint="eastAsia" w:eastAsia="仿宋_GB2312"/>
          <w:sz w:val="32"/>
          <w:szCs w:val="32"/>
          <w:lang w:val="en-US" w:eastAsia="zh-CN"/>
        </w:rPr>
        <w:t>2019年新成立部门无2018年数据，无法与2018年度比较</w:t>
      </w:r>
      <w:r>
        <w:rPr>
          <w:rFonts w:eastAsia="仿宋_GB2312"/>
          <w:sz w:val="32"/>
          <w:szCs w:val="32"/>
        </w:rPr>
        <w:t>。</w:t>
      </w:r>
      <w:r>
        <w:rPr>
          <w:rFonts w:eastAsia="仿宋_GB2312"/>
          <w:b/>
          <w:bCs/>
          <w:sz w:val="32"/>
          <w:szCs w:val="32"/>
        </w:rPr>
        <w:t>其中：</w:t>
      </w:r>
    </w:p>
    <w:p>
      <w:pPr>
        <w:adjustRightInd w:val="0"/>
        <w:snapToGrid w:val="0"/>
        <w:spacing w:line="580" w:lineRule="exact"/>
        <w:ind w:firstLine="643" w:firstLineChars="200"/>
        <w:rPr>
          <w:rFonts w:hint="eastAsia" w:ascii="仿宋_GB2312" w:eastAsia="仿宋_GB2312" w:cs="DengXian-Regular"/>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w:t>
      </w:r>
      <w:r>
        <w:rPr>
          <w:rFonts w:hint="eastAsia" w:eastAsia="仿宋_GB2312"/>
          <w:sz w:val="32"/>
          <w:szCs w:val="32"/>
          <w:lang w:eastAsia="zh-CN"/>
        </w:rPr>
        <w:t>20</w:t>
      </w:r>
      <w:r>
        <w:rPr>
          <w:rFonts w:hint="eastAsia" w:ascii="仿宋_GB2312" w:eastAsia="仿宋_GB2312" w:cs="DengXian-Regular"/>
          <w:sz w:val="32"/>
          <w:szCs w:val="32"/>
          <w:lang w:eastAsia="zh-CN"/>
        </w:rPr>
        <w:t>19</w:t>
      </w:r>
      <w:r>
        <w:rPr>
          <w:rFonts w:hint="eastAsia" w:ascii="仿宋_GB2312" w:eastAsia="仿宋_GB2312" w:cs="DengXian-Regular"/>
          <w:sz w:val="32"/>
          <w:szCs w:val="32"/>
        </w:rPr>
        <w:t>年度未发生“公务用车购置”经费</w:t>
      </w:r>
      <w:r>
        <w:rPr>
          <w:rFonts w:hint="eastAsia" w:eastAsia="仿宋_GB2312"/>
          <w:sz w:val="32"/>
          <w:szCs w:val="32"/>
          <w:lang w:val="en-US" w:eastAsia="zh-CN"/>
        </w:rPr>
        <w:t>支出，与年初预算持平，由于为2019年新成立部门，无法与2018年度比较</w:t>
      </w:r>
      <w:r>
        <w:rPr>
          <w:rFonts w:eastAsia="仿宋_GB2312"/>
          <w:sz w:val="32"/>
          <w:szCs w:val="32"/>
        </w:rPr>
        <w:t>。</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eastAsia="仿宋_GB2312"/>
          <w:b/>
          <w:sz w:val="32"/>
          <w:szCs w:val="32"/>
        </w:rPr>
        <w:t>公务用车运行维护费支出</w:t>
      </w:r>
      <w:r>
        <w:rPr>
          <w:rFonts w:hint="eastAsia" w:eastAsia="仿宋_GB2312"/>
          <w:b/>
          <w:sz w:val="32"/>
          <w:szCs w:val="32"/>
          <w:lang w:val="en-US" w:eastAsia="zh-CN"/>
        </w:rPr>
        <w:t>0.59</w:t>
      </w:r>
      <w:r>
        <w:rPr>
          <w:rFonts w:eastAsia="仿宋_GB2312"/>
          <w:b/>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本部门2019年度单位公务用车保有量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辆。公车运行维护费支出较预算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eastAsia="仿宋_GB2312"/>
          <w:sz w:val="32"/>
          <w:szCs w:val="32"/>
          <w:lang w:eastAsia="zh-CN"/>
        </w:rPr>
        <w:t>由于为</w:t>
      </w:r>
      <w:r>
        <w:rPr>
          <w:rFonts w:hint="eastAsia" w:eastAsia="仿宋_GB2312"/>
          <w:sz w:val="32"/>
          <w:szCs w:val="32"/>
          <w:lang w:val="en-US" w:eastAsia="zh-CN"/>
        </w:rPr>
        <w:t>2019年新成立部门，无法与2018年度比较</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0.04</w:t>
      </w:r>
      <w:r>
        <w:rPr>
          <w:rFonts w:eastAsia="楷体_GB2312"/>
          <w:b/>
          <w:bCs/>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本部门2019年度公务接待共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批次、</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4</w:t>
      </w:r>
      <w:r>
        <w:rPr>
          <w:rFonts w:hint="eastAsia" w:ascii="仿宋_GB2312" w:hAnsi="Times New Roman" w:eastAsia="仿宋_GB2312" w:cs="DengXian-Regular"/>
          <w:color w:val="000000" w:themeColor="text1"/>
          <w:sz w:val="32"/>
          <w:szCs w:val="32"/>
          <w14:textFill>
            <w14:solidFill>
              <w14:schemeClr w14:val="tx1"/>
            </w14:solidFill>
          </w14:textFill>
        </w:rPr>
        <w:t>人次。公务接待费支出较预算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eastAsia="仿宋_GB2312"/>
          <w:sz w:val="32"/>
          <w:szCs w:val="32"/>
          <w:lang w:eastAsia="zh-CN"/>
        </w:rPr>
        <w:t>由于为</w:t>
      </w:r>
      <w:r>
        <w:rPr>
          <w:rFonts w:hint="eastAsia" w:eastAsia="仿宋_GB2312"/>
          <w:sz w:val="32"/>
          <w:szCs w:val="32"/>
          <w:lang w:val="en-US" w:eastAsia="zh-CN"/>
        </w:rPr>
        <w:t>2019年新成立部门无2018年数据，无法与2018年度比较</w:t>
      </w:r>
      <w:r>
        <w:rPr>
          <w:rFonts w:eastAsia="仿宋_GB2312"/>
          <w:sz w:val="32"/>
          <w:szCs w:val="32"/>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bookmarkStart w:id="0" w:name="_GoBack"/>
      <w:bookmarkEnd w:id="0"/>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65.86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无法与</w:t>
      </w:r>
      <w:r>
        <w:rPr>
          <w:rFonts w:hint="eastAsia" w:ascii="仿宋_GB2312" w:eastAsia="仿宋_GB2312" w:cs="DengXian-Regular"/>
          <w:sz w:val="32"/>
          <w:szCs w:val="32"/>
        </w:rPr>
        <w:t>年初预算数</w:t>
      </w:r>
      <w:r>
        <w:rPr>
          <w:rFonts w:hint="eastAsia" w:ascii="仿宋_GB2312" w:eastAsia="仿宋_GB2312" w:cs="DengXian-Regular"/>
          <w:sz w:val="32"/>
          <w:szCs w:val="32"/>
          <w:lang w:eastAsia="zh-CN"/>
        </w:rPr>
        <w:t>、</w:t>
      </w:r>
      <w:r>
        <w:rPr>
          <w:rFonts w:hint="eastAsia" w:eastAsia="仿宋_GB2312"/>
          <w:sz w:val="32"/>
          <w:szCs w:val="32"/>
          <w:lang w:eastAsia="zh-CN"/>
        </w:rPr>
        <w:t>2018</w:t>
      </w:r>
      <w:r>
        <w:rPr>
          <w:rFonts w:eastAsia="仿宋_GB2312"/>
          <w:sz w:val="32"/>
          <w:szCs w:val="32"/>
        </w:rPr>
        <w:t>年度决算</w:t>
      </w:r>
      <w:r>
        <w:rPr>
          <w:rFonts w:hint="eastAsia" w:eastAsia="仿宋_GB2312"/>
          <w:sz w:val="32"/>
          <w:szCs w:val="32"/>
          <w:lang w:eastAsia="zh-CN"/>
        </w:rPr>
        <w:t>比较</w:t>
      </w:r>
      <w:r>
        <w:rPr>
          <w:rFonts w:eastAsia="仿宋_GB2312"/>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本部门2019年度政府采购支出总额</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万元，从采购类型来看，</w:t>
      </w:r>
      <w:r>
        <w:rPr>
          <w:rFonts w:ascii="仿宋_GB2312" w:hAnsi="仿宋_GB2312" w:eastAsia="仿宋_GB2312" w:cs="仿宋_GB2312"/>
          <w:color w:val="000000" w:themeColor="text1"/>
          <w:kern w:val="0"/>
          <w:sz w:val="32"/>
          <w:szCs w:val="32"/>
          <w:lang w:bidi="ar"/>
          <w14:textFill>
            <w14:solidFill>
              <w14:schemeClr w14:val="tx1"/>
            </w14:solidFill>
          </w14:textFill>
        </w:rPr>
        <w:t>政府采购货物支出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万元、政府采购工程支出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万元、政府采购服务支出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万元。授予中小企业合同金</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万元，占政府采购支出总额的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其中授予小微企业合同金额</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万元，占政府采购支出总额的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截至2019年12月31日，本部门共有车辆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本部门2019年新成立，车辆数无法与上年比较</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本部门车辆</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机构改革后，由原民政部门划转</w:t>
      </w:r>
      <w:r>
        <w:rPr>
          <w:rFonts w:hint="eastAsia" w:ascii="仿宋_GB2312" w:eastAsia="仿宋_GB2312" w:cs="DengXian-Regular"/>
          <w:sz w:val="32"/>
          <w:szCs w:val="32"/>
          <w:lang w:val="en-US" w:eastAsia="zh-CN"/>
        </w:rPr>
        <w:t>1辆公务用车</w:t>
      </w:r>
      <w:r>
        <w:rPr>
          <w:rFonts w:hint="eastAsia" w:ascii="仿宋_GB2312" w:eastAsia="仿宋_GB2312" w:cs="DengXian-Regular"/>
          <w:sz w:val="32"/>
          <w:szCs w:val="32"/>
        </w:rPr>
        <w:t>。</w:t>
      </w:r>
      <w:r>
        <w:rPr>
          <w:rFonts w:hint="eastAsia" w:ascii="仿宋_GB2312" w:hAnsi="Times New Roman" w:eastAsia="仿宋_GB2312" w:cs="DengXian-Regular"/>
          <w:color w:val="000000" w:themeColor="text1"/>
          <w:sz w:val="32"/>
          <w:szCs w:val="32"/>
          <w14:textFill>
            <w14:solidFill>
              <w14:schemeClr w14:val="tx1"/>
            </w14:solidFill>
          </w14:textFill>
        </w:rPr>
        <w:t>其中，副部（省）级及以上领导用车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辆，主要领导干部用车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辆，机要通信用车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w:t>
      </w:r>
      <w:r>
        <w:rPr>
          <w:rFonts w:hint="eastAsia" w:ascii="仿宋_GB2312" w:hAnsi="Times New Roman" w:eastAsia="仿宋_GB2312" w:cs="DengXian-Regular"/>
          <w:color w:val="000000" w:themeColor="text1"/>
          <w:sz w:val="32"/>
          <w:szCs w:val="32"/>
          <w14:textFill>
            <w14:solidFill>
              <w14:schemeClr w14:val="tx1"/>
            </w14:solidFill>
          </w14:textFill>
        </w:rPr>
        <w:t>辆，应急保障用车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辆，执法执勤用车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辆，特种专业技术用车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辆，离退休干部用车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辆，其他用车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辆，其他用车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0辆</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ind w:firstLine="640"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单位价值</w:t>
      </w:r>
      <w:r>
        <w:rPr>
          <w:rFonts w:hint="eastAsia" w:ascii="仿宋_GB2312" w:hAnsi="TimesNewRomanPSMT" w:eastAsia="仿宋_GB2312" w:cs="TimesNewRomanPSMT"/>
          <w:color w:val="000000" w:themeColor="text1"/>
          <w:sz w:val="32"/>
          <w:szCs w:val="32"/>
          <w14:textFill>
            <w14:solidFill>
              <w14:schemeClr w14:val="tx1"/>
            </w14:solidFill>
          </w14:textFill>
        </w:rPr>
        <w:t>50</w:t>
      </w:r>
      <w:r>
        <w:rPr>
          <w:rFonts w:hint="eastAsia" w:ascii="仿宋_GB2312" w:hAnsi="Times New Roman" w:eastAsia="仿宋_GB2312" w:cs="DengXian-Regular"/>
          <w:color w:val="000000" w:themeColor="text1"/>
          <w:sz w:val="32"/>
          <w:szCs w:val="32"/>
          <w14:textFill>
            <w14:solidFill>
              <w14:schemeClr w14:val="tx1"/>
            </w14:solidFill>
          </w14:textFill>
        </w:rPr>
        <w:t>万元以上通用设备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台（套），单位价值</w:t>
      </w:r>
      <w:r>
        <w:rPr>
          <w:rFonts w:hint="eastAsia" w:ascii="仿宋_GB2312" w:hAnsi="TimesNewRomanPSMT" w:eastAsia="仿宋_GB2312" w:cs="TimesNewRomanPSMT"/>
          <w:color w:val="000000" w:themeColor="text1"/>
          <w:sz w:val="32"/>
          <w:szCs w:val="32"/>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万元以上专用设备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无法与上年比较</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1、本部门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年度政府性基金预算财政拨款</w:t>
      </w:r>
      <w:r>
        <w:rPr>
          <w:rFonts w:hint="eastAsia" w:ascii="仿宋_GB2312" w:eastAsia="仿宋_GB2312" w:cs="DengXian-Regular"/>
          <w:sz w:val="32"/>
          <w:szCs w:val="32"/>
          <w:lang w:eastAsia="zh-CN"/>
        </w:rPr>
        <w:t>、</w:t>
      </w:r>
      <w:r>
        <w:rPr>
          <w:rFonts w:hint="eastAsia" w:ascii="仿宋_GB2312" w:eastAsia="仿宋_GB2312" w:cs="DengXian-Regular"/>
          <w:sz w:val="32"/>
          <w:szCs w:val="32"/>
        </w:rPr>
        <w:t>国有资本经营预算财政拨款无收支及结转结余情况，故政府性基金预算财政拨款收入支出决算表</w:t>
      </w:r>
      <w:r>
        <w:rPr>
          <w:rFonts w:hint="eastAsia" w:ascii="仿宋_GB2312" w:eastAsia="仿宋_GB2312" w:cs="DengXian-Regular"/>
          <w:sz w:val="32"/>
          <w:szCs w:val="32"/>
          <w:lang w:eastAsia="zh-CN"/>
        </w:rPr>
        <w:t>、</w:t>
      </w:r>
      <w:r>
        <w:rPr>
          <w:rFonts w:hint="eastAsia" w:ascii="仿宋_GB2312" w:eastAsia="仿宋_GB2312" w:cs="DengXian-Regular"/>
          <w:sz w:val="32"/>
          <w:szCs w:val="32"/>
        </w:rPr>
        <w:t>国有资本经营预算财政拨款支出决算表以空表列示。</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3、由于我单位是2019年机构改革后新成立部门，无2019年预算数、无2018年决算数，故本说明中涉及与预算数及2018年决算数相比较的部分，均无法完成。</w:t>
      </w:r>
    </w:p>
    <w:p>
      <w:pPr>
        <w:widowControl/>
        <w:spacing w:after="0"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cols w:space="72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6"/>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5" w:type="first"/>
          <w:pgSz w:w="11906" w:h="16838"/>
          <w:pgMar w:top="2041" w:right="1531" w:bottom="2041" w:left="1531" w:header="851" w:footer="992" w:gutter="0"/>
          <w:pgNumType w:fmt="numberInDash"/>
          <w:cols w:space="0" w:num="1"/>
          <w:titlePg/>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w:t>
      </w:r>
      <w:r>
        <w:rPr>
          <w:rFonts w:hint="eastAsia" w:ascii="仿宋_GB2312" w:hAnsi="宋体" w:eastAsia="仿宋_GB2312"/>
          <w:b/>
          <w:bCs/>
          <w:color w:val="000000"/>
          <w:kern w:val="0"/>
          <w:sz w:val="32"/>
          <w:szCs w:val="32"/>
          <w:lang w:eastAsia="zh-CN"/>
        </w:rPr>
        <w:t>六</w:t>
      </w:r>
      <w:r>
        <w:rPr>
          <w:rFonts w:hint="eastAsia" w:ascii="仿宋_GB2312" w:hAnsi="宋体" w:eastAsia="仿宋_GB2312"/>
          <w:b/>
          <w:bCs/>
          <w:color w:val="000000"/>
          <w:kern w:val="0"/>
          <w:sz w:val="32"/>
          <w:szCs w:val="32"/>
        </w:rPr>
        <w:t>）基本支出：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w:t>
      </w:r>
      <w:r>
        <w:rPr>
          <w:rFonts w:hint="eastAsia" w:ascii="仿宋_GB2312" w:hAnsi="宋体" w:eastAsia="仿宋_GB2312"/>
          <w:b/>
          <w:bCs/>
          <w:color w:val="000000"/>
          <w:kern w:val="0"/>
          <w:sz w:val="32"/>
          <w:szCs w:val="32"/>
          <w:lang w:eastAsia="zh-CN"/>
        </w:rPr>
        <w:t>七</w:t>
      </w:r>
      <w:r>
        <w:rPr>
          <w:rFonts w:hint="eastAsia" w:ascii="仿宋_GB2312" w:hAnsi="宋体" w:eastAsia="仿宋_GB2312"/>
          <w:b/>
          <w:bCs/>
          <w:color w:val="000000"/>
          <w:kern w:val="0"/>
          <w:sz w:val="32"/>
          <w:szCs w:val="32"/>
        </w:rPr>
        <w:t>）项目支出：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w:t>
      </w:r>
      <w:r>
        <w:rPr>
          <w:rFonts w:hint="eastAsia" w:ascii="仿宋_GB2312" w:hAnsi="宋体" w:eastAsia="仿宋_GB2312"/>
          <w:b/>
          <w:bCs/>
          <w:color w:val="000000"/>
          <w:kern w:val="0"/>
          <w:sz w:val="32"/>
          <w:szCs w:val="32"/>
          <w:lang w:eastAsia="zh-CN"/>
        </w:rPr>
        <w:t>八</w:t>
      </w:r>
      <w:r>
        <w:rPr>
          <w:rFonts w:hint="eastAsia" w:ascii="仿宋_GB2312" w:hAnsi="宋体" w:eastAsia="仿宋_GB2312"/>
          <w:b/>
          <w:bCs/>
          <w:color w:val="000000"/>
          <w:kern w:val="0"/>
          <w:sz w:val="32"/>
          <w:szCs w:val="32"/>
        </w:rPr>
        <w:t>）“三公”经费：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w:t>
      </w:r>
      <w:r>
        <w:rPr>
          <w:rFonts w:hint="eastAsia" w:ascii="仿宋_GB2312" w:hAnsi="宋体" w:eastAsia="仿宋_GB2312"/>
          <w:b/>
          <w:bCs/>
          <w:color w:val="000000"/>
          <w:kern w:val="0"/>
          <w:sz w:val="32"/>
          <w:szCs w:val="32"/>
          <w:lang w:eastAsia="zh-CN"/>
        </w:rPr>
        <w:t>九</w:t>
      </w:r>
      <w:r>
        <w:rPr>
          <w:rFonts w:hint="eastAsia" w:ascii="仿宋_GB2312" w:hAnsi="宋体" w:eastAsia="仿宋_GB2312"/>
          <w:b/>
          <w:bCs/>
          <w:color w:val="000000"/>
          <w:kern w:val="0"/>
          <w:sz w:val="32"/>
          <w:szCs w:val="32"/>
        </w:rPr>
        <w:t>）其他交通费用：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w:t>
      </w:r>
      <w:r>
        <w:rPr>
          <w:rFonts w:hint="eastAsia" w:ascii="仿宋_GB2312" w:hAnsi="宋体" w:eastAsia="仿宋_GB2312"/>
          <w:b/>
          <w:bCs/>
          <w:color w:val="000000"/>
          <w:kern w:val="0"/>
          <w:sz w:val="32"/>
          <w:szCs w:val="32"/>
          <w:lang w:eastAsia="zh-CN"/>
        </w:rPr>
        <w:t>十</w:t>
      </w:r>
      <w:r>
        <w:rPr>
          <w:rFonts w:hint="eastAsia" w:ascii="仿宋_GB2312" w:hAnsi="宋体" w:eastAsia="仿宋_GB2312"/>
          <w:b/>
          <w:bCs/>
          <w:color w:val="000000"/>
          <w:kern w:val="0"/>
          <w:sz w:val="32"/>
          <w:szCs w:val="32"/>
        </w:rPr>
        <w:t>）公务用车购置：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w:t>
      </w:r>
      <w:r>
        <w:rPr>
          <w:rFonts w:hint="eastAsia" w:ascii="仿宋_GB2312" w:hAnsi="宋体" w:eastAsia="仿宋_GB2312"/>
          <w:b/>
          <w:bCs/>
          <w:color w:val="000000"/>
          <w:kern w:val="0"/>
          <w:sz w:val="32"/>
          <w:szCs w:val="32"/>
          <w:lang w:eastAsia="zh-CN"/>
        </w:rPr>
        <w:t>一</w:t>
      </w:r>
      <w:r>
        <w:rPr>
          <w:rFonts w:hint="eastAsia" w:ascii="仿宋_GB2312" w:hAnsi="宋体" w:eastAsia="仿宋_GB2312"/>
          <w:b/>
          <w:bCs/>
          <w:color w:val="000000"/>
          <w:kern w:val="0"/>
          <w:sz w:val="32"/>
          <w:szCs w:val="32"/>
        </w:rPr>
        <w:t>）其他交通工具购置：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w:t>
      </w:r>
      <w:r>
        <w:rPr>
          <w:rFonts w:hint="eastAsia" w:ascii="仿宋_GB2312" w:hAnsi="宋体" w:eastAsia="仿宋_GB2312"/>
          <w:b/>
          <w:bCs/>
          <w:color w:val="000000"/>
          <w:kern w:val="0"/>
          <w:sz w:val="32"/>
          <w:szCs w:val="32"/>
          <w:lang w:eastAsia="zh-CN"/>
        </w:rPr>
        <w:t>二</w:t>
      </w:r>
      <w:r>
        <w:rPr>
          <w:rFonts w:hint="eastAsia" w:ascii="仿宋_GB2312" w:hAnsi="宋体" w:eastAsia="仿宋_GB2312"/>
          <w:b/>
          <w:bCs/>
          <w:color w:val="000000"/>
          <w:kern w:val="0"/>
          <w:sz w:val="32"/>
          <w:szCs w:val="32"/>
        </w:rPr>
        <w:t>）机关运行经费：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w:t>
      </w:r>
      <w:r>
        <w:rPr>
          <w:rFonts w:hint="eastAsia" w:ascii="仿宋_GB2312" w:hAnsi="宋体" w:eastAsia="仿宋_GB2312"/>
          <w:b/>
          <w:bCs/>
          <w:color w:val="000000"/>
          <w:kern w:val="0"/>
          <w:sz w:val="32"/>
          <w:szCs w:val="32"/>
          <w:lang w:eastAsia="zh-CN"/>
        </w:rPr>
        <w:t>三</w:t>
      </w:r>
      <w:r>
        <w:rPr>
          <w:rFonts w:hint="eastAsia" w:ascii="仿宋_GB2312" w:hAnsi="宋体" w:eastAsia="仿宋_GB2312"/>
          <w:b/>
          <w:bCs/>
          <w:color w:val="000000"/>
          <w:kern w:val="0"/>
          <w:sz w:val="32"/>
          <w:szCs w:val="32"/>
        </w:rPr>
        <w:t>）经费形式: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16"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17"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6"/>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tbl>
      <w:tblPr>
        <w:tblStyle w:val="7"/>
        <w:tblW w:w="93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 w:hRule="atLeast"/>
          <w:jc w:val="center"/>
        </w:trPr>
        <w:tc>
          <w:tcPr>
            <w:tcW w:w="7303" w:type="dxa"/>
            <w:gridSpan w:val="4"/>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部门：廊坊市大厂回族自治县退役军人事务局（本级）</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2207.67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2,023.26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2207.67</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2029.47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103.14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281.34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2310.81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2310.81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7"/>
        <w:tblW w:w="93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35"/>
        <w:gridCol w:w="179"/>
        <w:gridCol w:w="520"/>
        <w:gridCol w:w="3460"/>
        <w:gridCol w:w="90"/>
        <w:gridCol w:w="260"/>
        <w:gridCol w:w="815"/>
        <w:gridCol w:w="5"/>
        <w:gridCol w:w="1033"/>
        <w:gridCol w:w="599"/>
        <w:gridCol w:w="119"/>
        <w:gridCol w:w="90"/>
        <w:gridCol w:w="301"/>
        <w:gridCol w:w="423"/>
        <w:gridCol w:w="552"/>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5" w:hRule="atLeast"/>
          <w:jc w:val="center"/>
        </w:trPr>
        <w:tc>
          <w:tcPr>
            <w:tcW w:w="9321" w:type="dxa"/>
            <w:gridSpan w:val="16"/>
            <w:tcBorders>
              <w:top w:val="nil"/>
              <w:left w:val="nil"/>
              <w:bottom w:val="nil"/>
              <w:right w:val="nil"/>
            </w:tcBorders>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346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815"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1756" w:type="dxa"/>
            <w:gridSpan w:val="4"/>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724" w:type="dxa"/>
            <w:gridSpan w:val="2"/>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p>
        </w:tc>
        <w:tc>
          <w:tcPr>
            <w:tcW w:w="1092" w:type="dxa"/>
            <w:gridSpan w:val="2"/>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both"/>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2" w:hRule="atLeast"/>
          <w:jc w:val="center"/>
        </w:trPr>
        <w:tc>
          <w:tcPr>
            <w:tcW w:w="7296" w:type="dxa"/>
            <w:gridSpan w:val="10"/>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rPr>
                <w:rFonts w:ascii="Arial" w:hAnsi="Arial" w:cs="Arial"/>
                <w:color w:val="000000"/>
                <w:szCs w:val="21"/>
              </w:rPr>
            </w:pPr>
            <w:r>
              <w:rPr>
                <w:rFonts w:hint="eastAsia" w:ascii="宋体" w:hAnsi="宋体" w:cs="宋体"/>
                <w:color w:val="000000"/>
                <w:kern w:val="0"/>
                <w:szCs w:val="21"/>
              </w:rPr>
              <w:t>部门：廊坊市大厂回族自治县退役军人事务局（本级）</w:t>
            </w:r>
          </w:p>
        </w:tc>
        <w:tc>
          <w:tcPr>
            <w:tcW w:w="2025" w:type="dxa"/>
            <w:gridSpan w:val="6"/>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5" w:hRule="atLeast"/>
          <w:jc w:val="center"/>
        </w:trPr>
        <w:tc>
          <w:tcPr>
            <w:tcW w:w="4494"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170" w:type="dxa"/>
            <w:gridSpan w:val="4"/>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033"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599"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510"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423"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552"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540"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460" w:type="dxa"/>
            <w:tcBorders>
              <w:top w:val="nil"/>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70" w:type="dxa"/>
            <w:gridSpan w:val="4"/>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rPr>
                <w:rFonts w:ascii="宋体" w:hAnsi="宋体" w:cs="宋体"/>
                <w:color w:val="000000"/>
                <w:sz w:val="20"/>
                <w:szCs w:val="20"/>
              </w:rPr>
            </w:pPr>
          </w:p>
        </w:tc>
        <w:tc>
          <w:tcPr>
            <w:tcW w:w="1033"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p>
        </w:tc>
        <w:tc>
          <w:tcPr>
            <w:tcW w:w="599"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p>
        </w:tc>
        <w:tc>
          <w:tcPr>
            <w:tcW w:w="510"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p>
        </w:tc>
        <w:tc>
          <w:tcPr>
            <w:tcW w:w="423"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p>
        </w:tc>
        <w:tc>
          <w:tcPr>
            <w:tcW w:w="552"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p>
        </w:tc>
        <w:tc>
          <w:tcPr>
            <w:tcW w:w="540"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jc w:val="center"/>
        </w:trPr>
        <w:tc>
          <w:tcPr>
            <w:tcW w:w="449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17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449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17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r>
              <w:rPr>
                <w:rFonts w:hint="eastAsia" w:ascii="宋体" w:hAnsi="宋体" w:cs="宋体"/>
                <w:b/>
                <w:color w:val="000000"/>
                <w:sz w:val="18"/>
                <w:szCs w:val="18"/>
              </w:rPr>
              <w:t>2207.67</w:t>
            </w:r>
          </w:p>
        </w:tc>
        <w:tc>
          <w:tcPr>
            <w:tcW w:w="103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r>
              <w:rPr>
                <w:rFonts w:hint="eastAsia" w:ascii="宋体" w:hAnsi="宋体" w:cs="宋体"/>
                <w:b/>
                <w:color w:val="000000"/>
                <w:sz w:val="18"/>
                <w:szCs w:val="18"/>
              </w:rPr>
              <w:t>2207.67</w:t>
            </w:r>
          </w:p>
        </w:tc>
        <w:tc>
          <w:tcPr>
            <w:tcW w:w="59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p>
        </w:tc>
        <w:tc>
          <w:tcPr>
            <w:tcW w:w="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p>
        </w:tc>
        <w:tc>
          <w:tcPr>
            <w:tcW w:w="423"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p>
        </w:tc>
        <w:tc>
          <w:tcPr>
            <w:tcW w:w="552"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p>
        </w:tc>
        <w:tc>
          <w:tcPr>
            <w:tcW w:w="54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b/>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2,199.47</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2,199.47</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6.37</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6.37</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2080501</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1.20</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1.20</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2080505</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5.17</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5.17</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抚恤</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887.20</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887.20</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2080801</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6.00</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6.00</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2080802</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伤残抚恤</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17.85</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17.85</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2080803</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405.82</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405.82</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2080804</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优抚事业单位支出</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44.96</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44.96</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2080805</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义务兵优待</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57.74</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57.74</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2080899</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其他优抚支出</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354.83</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354.83</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退役安置</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543.38</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543.38</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2080901</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退役士兵安置</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102.82</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102.82</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2080902</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军队移交政府的离退休人员安置</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44.00</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44.00</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2080903</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军队移交政府离退休干部管理机构</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10.00</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10.00</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2080904</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退役士兵管理教育</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10.63</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10.63</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2080905</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军队转业干部安置</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5.76</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5.76</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2080999</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370.17</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370.17</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退役军人管理事务</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746.53</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746.53</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2082801</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2082802</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35.54</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35.54</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2082804</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拥军优属</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54.55</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54.55</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2082899</w:t>
            </w:r>
          </w:p>
        </w:tc>
        <w:tc>
          <w:tcPr>
            <w:tcW w:w="34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1170" w:type="dxa"/>
            <w:gridSpan w:val="4"/>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503.35</w:t>
            </w:r>
          </w:p>
        </w:tc>
        <w:tc>
          <w:tcPr>
            <w:tcW w:w="103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503.35</w:t>
            </w:r>
          </w:p>
        </w:tc>
        <w:tc>
          <w:tcPr>
            <w:tcW w:w="59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p>
        </w:tc>
        <w:tc>
          <w:tcPr>
            <w:tcW w:w="51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w:t>
            </w:r>
          </w:p>
        </w:tc>
        <w:tc>
          <w:tcPr>
            <w:tcW w:w="4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5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c>
          <w:tcPr>
            <w:tcW w:w="54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1" w:hRule="atLeast"/>
          <w:jc w:val="center"/>
        </w:trPr>
        <w:tc>
          <w:tcPr>
            <w:tcW w:w="9321" w:type="dxa"/>
            <w:gridSpan w:val="16"/>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6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7"/>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288"/>
        <w:gridCol w:w="3675"/>
        <w:gridCol w:w="90"/>
        <w:gridCol w:w="870"/>
        <w:gridCol w:w="248"/>
        <w:gridCol w:w="622"/>
        <w:gridCol w:w="498"/>
        <w:gridCol w:w="492"/>
        <w:gridCol w:w="536"/>
        <w:gridCol w:w="401"/>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8" w:hRule="atLeast"/>
        </w:trPr>
        <w:tc>
          <w:tcPr>
            <w:tcW w:w="9000" w:type="dxa"/>
            <w:gridSpan w:val="1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auto"/>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29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288"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3675"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p>
        </w:tc>
        <w:tc>
          <w:tcPr>
            <w:tcW w:w="2130" w:type="dxa"/>
            <w:gridSpan w:val="4"/>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Arial" w:hAnsi="Arial" w:cs="Arial"/>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7362" w:type="dxa"/>
            <w:gridSpan w:val="10"/>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rPr>
                <w:rFonts w:ascii="Arial" w:hAnsi="Arial" w:cs="Arial"/>
                <w:color w:val="000000"/>
                <w:szCs w:val="21"/>
              </w:rPr>
            </w:pPr>
            <w:r>
              <w:rPr>
                <w:rFonts w:hint="eastAsia" w:ascii="宋体" w:hAnsi="宋体" w:cs="宋体"/>
                <w:color w:val="000000"/>
                <w:kern w:val="0"/>
                <w:szCs w:val="21"/>
              </w:rPr>
              <w:t>部门：廊坊市大厂回族自治县退役军人事务局（本级）</w:t>
            </w:r>
          </w:p>
        </w:tc>
        <w:tc>
          <w:tcPr>
            <w:tcW w:w="1638"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2" w:hRule="atLeast"/>
        </w:trPr>
        <w:tc>
          <w:tcPr>
            <w:tcW w:w="454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960" w:type="dxa"/>
            <w:gridSpan w:val="2"/>
            <w:vMerge w:val="restart"/>
            <w:tcBorders>
              <w:top w:val="single" w:color="000000" w:sz="4" w:space="0"/>
              <w:left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870" w:type="dxa"/>
            <w:gridSpan w:val="2"/>
            <w:vMerge w:val="restart"/>
            <w:tcBorders>
              <w:top w:val="single" w:color="000000" w:sz="4" w:space="0"/>
              <w:left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990" w:type="dxa"/>
            <w:gridSpan w:val="2"/>
            <w:vMerge w:val="restart"/>
            <w:tcBorders>
              <w:top w:val="single" w:color="000000" w:sz="4" w:space="0"/>
              <w:left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536" w:type="dxa"/>
            <w:vMerge w:val="restart"/>
            <w:tcBorders>
              <w:top w:val="single" w:color="000000" w:sz="4" w:space="0"/>
              <w:left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401" w:type="dxa"/>
            <w:vMerge w:val="restart"/>
            <w:tcBorders>
              <w:top w:val="single" w:color="000000" w:sz="4" w:space="0"/>
              <w:left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01" w:type="dxa"/>
            <w:vMerge w:val="restart"/>
            <w:tcBorders>
              <w:top w:val="single" w:color="000000" w:sz="4" w:space="0"/>
              <w:left w:val="nil"/>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1"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96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rPr>
                <w:rFonts w:ascii="宋体" w:hAnsi="宋体" w:cs="宋体"/>
                <w:color w:val="000000"/>
                <w:szCs w:val="21"/>
              </w:rPr>
            </w:pPr>
          </w:p>
        </w:tc>
        <w:tc>
          <w:tcPr>
            <w:tcW w:w="87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rPr>
                <w:rFonts w:ascii="宋体" w:hAnsi="宋体" w:cs="宋体"/>
                <w:color w:val="000000"/>
                <w:szCs w:val="21"/>
              </w:rPr>
            </w:pPr>
          </w:p>
        </w:tc>
        <w:tc>
          <w:tcPr>
            <w:tcW w:w="99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rPr>
                <w:rFonts w:ascii="宋体" w:hAnsi="宋体" w:cs="宋体"/>
                <w:color w:val="000000"/>
                <w:szCs w:val="21"/>
              </w:rPr>
            </w:pPr>
          </w:p>
        </w:tc>
        <w:tc>
          <w:tcPr>
            <w:tcW w:w="536" w:type="dxa"/>
            <w:vMerge w:val="continue"/>
            <w:tcBorders>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rPr>
                <w:rFonts w:ascii="宋体" w:hAnsi="宋体" w:cs="宋体"/>
                <w:color w:val="000000"/>
                <w:szCs w:val="21"/>
              </w:rPr>
            </w:pPr>
          </w:p>
        </w:tc>
        <w:tc>
          <w:tcPr>
            <w:tcW w:w="401" w:type="dxa"/>
            <w:vMerge w:val="continue"/>
            <w:tcBorders>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rPr>
                <w:rFonts w:ascii="宋体" w:hAnsi="宋体" w:cs="宋体"/>
                <w:color w:val="000000"/>
                <w:szCs w:val="21"/>
              </w:rPr>
            </w:pPr>
          </w:p>
        </w:tc>
        <w:tc>
          <w:tcPr>
            <w:tcW w:w="701" w:type="dxa"/>
            <w:vMerge w:val="continue"/>
            <w:tcBorders>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trPr>
        <w:tc>
          <w:tcPr>
            <w:tcW w:w="454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454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2029.47</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164.90</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1864.56</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b/>
                <w:color w:val="000000"/>
                <w:szCs w:val="21"/>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b/>
                <w:color w:val="000000"/>
                <w:szCs w:val="21"/>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2,023.26</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158.71</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1,864.55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5.62</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5.62</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2080501</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0.45</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0.45</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2080505</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5.17</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5.17</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抚恤</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701.88</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701.88</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2080801</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5.00</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5.00</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2080802</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伤残抚恤</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13.85</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13.85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2080803</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276.99</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276.99</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2080804</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优抚事业单位支出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44.96</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44.96</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2080805</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义务兵优待</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6.25</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6.25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2080899</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其他优抚支出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354.83</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354.83</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退役安置</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559.68</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559.68</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2080901</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退役士兵安置</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102.57</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102.57</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2080902</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军队移交政府的离退休人员安置</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23.76</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23.76</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2080903</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军队移交政府离退休干部管理机构</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4.93</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4.93</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7"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2080904</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退役士兵管理教育</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9.89</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9.89</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2080905</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军队转业干部安置</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5.76</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5.76</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2080999</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412.77</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412.77</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退役军人管理事务</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746.53</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593.44</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2082801</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0.00</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2082802</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35.54</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35.54</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2082804</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拥军优属</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54.55</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54.55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2082899</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503.35</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503.35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3" w:hRule="atLeast"/>
        </w:trPr>
        <w:tc>
          <w:tcPr>
            <w:tcW w:w="86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20899</w:t>
            </w:r>
          </w:p>
        </w:tc>
        <w:tc>
          <w:tcPr>
            <w:tcW w:w="3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其他社会保障和就业支出</w:t>
            </w:r>
          </w:p>
        </w:tc>
        <w:tc>
          <w:tcPr>
            <w:tcW w:w="96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9.55</w:t>
            </w:r>
          </w:p>
        </w:tc>
        <w:tc>
          <w:tcPr>
            <w:tcW w:w="87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990"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18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9.55</w:t>
            </w:r>
          </w:p>
        </w:tc>
        <w:tc>
          <w:tcPr>
            <w:tcW w:w="53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4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180" w:lineRule="atLeast"/>
              <w:jc w:val="right"/>
              <w:rPr>
                <w:rFonts w:ascii="宋体" w:hAnsi="宋体" w:cs="宋体"/>
                <w:color w:val="000000"/>
                <w:sz w:val="20"/>
                <w:szCs w:val="20"/>
              </w:rPr>
            </w:pPr>
          </w:p>
        </w:tc>
        <w:tc>
          <w:tcPr>
            <w:tcW w:w="70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8" w:hRule="atLeast"/>
        </w:trPr>
        <w:tc>
          <w:tcPr>
            <w:tcW w:w="9000" w:type="dxa"/>
            <w:gridSpan w:val="13"/>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7"/>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部门：廊坊市大厂回族自治县退役军人事务局（本级）</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20"/>
                <w:szCs w:val="20"/>
              </w:rPr>
              <w:t>2207.67</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2023.26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2023.26</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2.33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3.88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2207.67</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2029.47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2029.47</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103.14</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281.34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281.34</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103.14</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2310.81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2310.81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lang w:val="en-US" w:eastAsia="zh-CN"/>
              </w:rPr>
              <w:t>2310.81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3804"/>
        <w:gridCol w:w="90"/>
        <w:gridCol w:w="852"/>
        <w:gridCol w:w="498"/>
        <w:gridCol w:w="542"/>
        <w:gridCol w:w="763"/>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8860" w:type="dxa"/>
            <w:gridSpan w:val="10"/>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804"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08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5739" w:type="dxa"/>
            <w:gridSpan w:val="6"/>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部门：廊坊市大厂回族自治县退役军人事务局（本级）</w:t>
            </w:r>
          </w:p>
        </w:tc>
        <w:tc>
          <w:tcPr>
            <w:tcW w:w="3121"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 w:hRule="atLeast"/>
        </w:trPr>
        <w:tc>
          <w:tcPr>
            <w:tcW w:w="479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4063"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0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80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440" w:type="dxa"/>
            <w:gridSpan w:val="3"/>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30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31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804"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40"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30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31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804"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40" w:type="dxa"/>
            <w:gridSpan w:val="3"/>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30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31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479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479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2029.47</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164.90</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1864.56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社会保障和就业支出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2,023.26</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158.71</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1,864.55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行政事业单位离退休</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5.62</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5.62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0.45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0.45</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2080505</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5.17</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5.17</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抚恤</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701.88</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701.88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5.00</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2080802</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伤残抚恤</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13.85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2080803</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276.99</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2080804</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优抚事业单位支出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44.96</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2080805</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义务兵优待</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6.25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2080899</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其他优抚支出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354.83</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退役安置</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559.68</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559.68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退役士兵安置</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102.57</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2080902</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军队移交政府的离退休人员安置</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23.76</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2080903</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军队移交政府离退休干部管理机构</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4.93</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2080904</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退役士兵管理教育</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9.89</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2080905</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军队转业干部安置</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5.76</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2080999</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412.77</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退役军人管理事务</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746.53</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593.44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行政运行</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153.09</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2082802</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35.54</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2082804</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拥军优属</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54.55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2082899</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503.35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503.35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20899</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其他社会保障和就业支出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9.55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2089901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9.55</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卫生健康支出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2.33</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行政事业单位医疗</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2101101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2.32</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21014</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优抚对象医疗</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0.02</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2101401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优抚对象医疗补助</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0.02</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住房保障支出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22102</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住房改革支出</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2210201</w:t>
            </w:r>
          </w:p>
        </w:tc>
        <w:tc>
          <w:tcPr>
            <w:tcW w:w="380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1440"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w:t>
            </w:r>
          </w:p>
        </w:tc>
        <w:tc>
          <w:tcPr>
            <w:tcW w:w="1305" w:type="dxa"/>
            <w:gridSpan w:val="2"/>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w:t>
            </w:r>
          </w:p>
        </w:tc>
        <w:tc>
          <w:tcPr>
            <w:tcW w:w="13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8" w:hRule="atLeast"/>
        </w:trPr>
        <w:tc>
          <w:tcPr>
            <w:tcW w:w="8860" w:type="dxa"/>
            <w:gridSpan w:val="10"/>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7"/>
        <w:tblW w:w="91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887"/>
        <w:gridCol w:w="550"/>
        <w:gridCol w:w="477"/>
        <w:gridCol w:w="1898"/>
        <w:gridCol w:w="605"/>
        <w:gridCol w:w="560"/>
        <w:gridCol w:w="197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9180" w:type="dxa"/>
            <w:gridSpan w:val="9"/>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88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5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89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605"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jc w:val="center"/>
        </w:trPr>
        <w:tc>
          <w:tcPr>
            <w:tcW w:w="5370"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部门：廊坊市大厂回族自治县退役军人事务局（本级）</w:t>
            </w:r>
          </w:p>
        </w:tc>
        <w:tc>
          <w:tcPr>
            <w:tcW w:w="605"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8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5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89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60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9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67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88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5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89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605"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97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675"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56.06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65.86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25.77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5.27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6.21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4.09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2.73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6.01</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0.09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5.17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0.41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3.07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2.32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0.27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0.13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0.41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3.88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28.23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3.84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42.98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0.04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16.72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0.54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10.79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25.72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0.37</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2.08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18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40" w:lineRule="atLeast"/>
              <w:jc w:val="right"/>
              <w:rPr>
                <w:rFonts w:ascii="宋体" w:hAnsi="宋体" w:cs="宋体"/>
                <w:color w:val="000000"/>
                <w:sz w:val="20"/>
                <w:szCs w:val="20"/>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89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60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16"/>
                <w:szCs w:val="16"/>
              </w:rPr>
            </w:pPr>
            <w:r>
              <w:rPr>
                <w:rFonts w:hint="eastAsia" w:ascii="宋体" w:hAnsi="宋体" w:eastAsia="宋体" w:cs="宋体"/>
                <w:i w:val="0"/>
                <w:color w:val="000000"/>
                <w:kern w:val="0"/>
                <w:sz w:val="16"/>
                <w:szCs w:val="16"/>
                <w:u w:val="none"/>
                <w:lang w:val="en-US" w:eastAsia="zh-CN" w:bidi="ar"/>
              </w:rPr>
              <w:t>10.39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197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left"/>
              <w:rPr>
                <w:rFonts w:ascii="宋体" w:hAnsi="宋体" w:cs="宋体"/>
                <w:color w:val="000000"/>
                <w:sz w:val="16"/>
                <w:szCs w:val="16"/>
              </w:rPr>
            </w:pP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jc w:val="center"/>
        </w:trPr>
        <w:tc>
          <w:tcPr>
            <w:tcW w:w="244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55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tLeast"/>
              <w:jc w:val="right"/>
              <w:textAlignment w:val="center"/>
              <w:rPr>
                <w:rFonts w:ascii="宋体" w:hAnsi="宋体" w:cs="宋体"/>
                <w:color w:val="000000"/>
                <w:sz w:val="20"/>
                <w:szCs w:val="20"/>
              </w:rPr>
            </w:pPr>
            <w:r>
              <w:rPr>
                <w:rFonts w:hint="eastAsia" w:ascii="宋体" w:hAnsi="宋体" w:eastAsia="宋体" w:cs="宋体"/>
                <w:i w:val="0"/>
                <w:color w:val="000000"/>
                <w:kern w:val="0"/>
                <w:sz w:val="16"/>
                <w:szCs w:val="16"/>
                <w:u w:val="none"/>
                <w:lang w:val="en-US" w:eastAsia="zh-CN" w:bidi="ar"/>
              </w:rPr>
              <w:t>99.04</w:t>
            </w:r>
          </w:p>
        </w:tc>
        <w:tc>
          <w:tcPr>
            <w:tcW w:w="5510"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tLeast"/>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tbl>
      <w:tblPr>
        <w:tblStyle w:val="7"/>
        <w:tblW w:w="88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部门：廊坊市大厂回族自治县退役军人事务局（本级）</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0.62</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0.59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0.59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0.62</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0.59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0.59</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br w:type="page"/>
      </w:r>
    </w:p>
    <w:tbl>
      <w:tblPr>
        <w:tblStyle w:val="7"/>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6400" w:type="dxa"/>
            <w:gridSpan w:val="9"/>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部门：廊坊市大厂回族自治县退役军人事务局（本级）</w:t>
            </w: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注：本部门本年度无相关收入支出情况，按要求空表列示。       </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7"/>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编制单位：廊坊市大厂回族自治县退役军人事务局（本级）</w:t>
            </w: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注：本部门本年度无相关支出情况，按要求空表列示。</w:t>
            </w:r>
          </w:p>
        </w:tc>
      </w:tr>
    </w:tbl>
    <w:p>
      <w:pPr>
        <w:rPr>
          <w:color w:val="000000" w:themeColor="text1"/>
          <w14:textFill>
            <w14:solidFill>
              <w14:schemeClr w14:val="tx1"/>
            </w14:solidFill>
          </w14:textFill>
        </w:rPr>
        <w:sectPr>
          <w:headerReference r:id="rId19" w:type="first"/>
          <w:headerReference r:id="rId18" w:type="default"/>
          <w:footerReference r:id="rId20"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384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384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v:fill type="pattern" on="t" color2="#FFFFFF [3212]" focussize="0,0" r:id="rId26"/>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1"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2019年我局按照县财政部门预算绩效管理工作总体要求，进一步贯彻落实预算绩效管理改革的各项要求，通过可约规范制定管理制度，有效地加强了预算绩效管理。但是由于是新成立部门，未开展2019年度预算编制，本着突出预算绩效管理，提高资金使用效益的原则，狠抓预算执行、绩效评价等方面工作，将所有划转项目按计划、按进度实施，全面落实各项退役军人相关政策，确保补助发放符合标准、项目资金使用到位，取得了良好的社会效益。</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1.项目绩效自评结果。</w:t>
      </w:r>
    </w:p>
    <w:p>
      <w:pPr>
        <w:spacing w:line="600" w:lineRule="exact"/>
        <w:ind w:firstLine="640" w:firstLineChars="200"/>
        <w:rPr>
          <w:rFonts w:hint="eastAsia" w:ascii="仿宋" w:hAnsi="仿宋" w:eastAsia="仿宋"/>
          <w:sz w:val="32"/>
          <w:szCs w:val="32"/>
        </w:rPr>
      </w:pPr>
      <w:r>
        <w:rPr>
          <w:rFonts w:hint="eastAsia" w:ascii="仿宋_GB2312" w:eastAsia="仿宋_GB2312" w:cs="DengXian-Regular"/>
          <w:sz w:val="32"/>
          <w:szCs w:val="32"/>
          <w:lang w:val="en-US" w:eastAsia="zh-CN"/>
        </w:rPr>
        <w:t>为切实做好我县退役军人、现役军人和军属、优抚对象的优待、抚恤工作，落实优抚对象医疗保障待遇、退役安置待遇，完善退役军人各项工作的不足，我部门根据支出方向对2019年九个项目进行了自评，自评资金总计</w:t>
      </w:r>
      <w:r>
        <w:rPr>
          <w:rFonts w:hint="eastAsia"/>
          <w:color w:val="000000"/>
          <w:sz w:val="30"/>
          <w:szCs w:val="30"/>
        </w:rPr>
        <w:t>1237.2</w:t>
      </w:r>
      <w:r>
        <w:rPr>
          <w:rFonts w:hint="eastAsia"/>
          <w:color w:val="000000"/>
          <w:sz w:val="30"/>
          <w:szCs w:val="30"/>
          <w:lang w:val="en-US" w:eastAsia="zh-CN"/>
        </w:rPr>
        <w:t>4</w:t>
      </w:r>
      <w:r>
        <w:rPr>
          <w:rFonts w:hint="eastAsia" w:ascii="仿宋_GB2312" w:eastAsia="仿宋_GB2312" w:cs="DengXian-Regular"/>
          <w:sz w:val="32"/>
          <w:szCs w:val="32"/>
          <w:lang w:val="en-US" w:eastAsia="zh-CN"/>
        </w:rPr>
        <w:t>万元，涵盖军休服务管理、就业创业、抚恤优待、移交安置、思想政治和权益维护等各个方面</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严格遵循各项优抚政策、退役安置政策，按标准、按时间将各类优抚对象抚恤金、生活补助、立功受奖奖金、退役安置经济补助金、军休人员工资及军转干部困难补助等资金按时按质发放到位，项目自评均为优秀。2019年发放退役安置经费5.82万元，安置以前年度退役士兵辅助性岗位工资302.92万元，离退休人员安置经费44.82万元，发放优抚抚恤金及生活补助792.06万元，涵盖在乡复员、带病回乡、60岁农村及退役士兵、“三属”抚恤、60岁烈士子女、在乡残疾、参战退役、8023及其他涉核等人员，发放优抚对象医疗补助经费91.62万元，涵盖全县所有优抚对象的医疗、救助等方面，极大地缓解了优抚对象医疗困难问题；开展春节、八一建军节走访慰问活动，增进了地方与部队的鱼水亲情，增强了退役士兵的获得感。在部门决算公开中反应优抚对象抚恤生活补助资金及优抚对象医疗保障经费2个项目绩效自评结果。</w:t>
      </w:r>
    </w:p>
    <w:p>
      <w:pPr>
        <w:numPr>
          <w:ilvl w:val="0"/>
          <w:numId w:val="2"/>
        </w:num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优抚对象抚恤生活补助资金项目绩效自评综述：本年度将所有原民政部门划转的优抚对象抚恤生活补助资金都纳入绩效自评范围，绩效自评得分为98.1分（绩效自评表附后），全年划转预算数为976.37万元，执行数为792.06万元，完成划转预算的81%。项目绩效目标完成情况：通过发放优抚对象抚恤补助、义务兵家庭优待金、光荣院补贴等资金，保障优抚对象的生活水平，落实好义务兵家庭优待问题。</w:t>
      </w:r>
    </w:p>
    <w:p>
      <w:pPr>
        <w:numPr>
          <w:ilvl w:val="0"/>
          <w:numId w:val="2"/>
        </w:num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优抚对象医疗保障经费绩效自评综述：本年度将所有原民政部门划转的优抚对象抚恤生活补助资金都纳入绩效自评范围，绩效自评得分为99.8分（绩效自评表附后），全年预算数为93.6万元，执行数为91.62万元，完成划转预算的98%。项目绩效目标完成情况：全面落实优抚政策，保证重点优抚对象老有所养、老有所医，有效帮助了优抚对象解决医疗难问题。</w:t>
      </w:r>
    </w:p>
    <w:p>
      <w:pPr>
        <w:keepNext/>
        <w:keepLines/>
        <w:numPr>
          <w:ilvl w:val="0"/>
          <w:numId w:val="3"/>
        </w:numPr>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财政评价项目绩效评价结果。</w:t>
      </w:r>
    </w:p>
    <w:p>
      <w:pPr>
        <w:numPr>
          <w:ilvl w:val="0"/>
          <w:numId w:val="0"/>
        </w:numPr>
        <w:adjustRightInd w:val="0"/>
        <w:snapToGrid w:val="0"/>
        <w:spacing w:after="0" w:line="580" w:lineRule="exact"/>
        <w:ind w:firstLine="640" w:firstLineChars="200"/>
        <w:rPr>
          <w:rFonts w:ascii="Times New Roman" w:hAnsi="Times New Roman" w:eastAsia="仿宋_GB2312" w:cs="Times New Roman"/>
          <w:b/>
          <w:bCs/>
          <w:color w:val="000000"/>
          <w:sz w:val="32"/>
          <w:szCs w:val="32"/>
        </w:rPr>
      </w:pPr>
      <w:r>
        <w:rPr>
          <w:rFonts w:hint="eastAsia" w:ascii="仿宋_GB2312" w:eastAsia="仿宋_GB2312" w:cs="DengXian-Regular"/>
          <w:sz w:val="32"/>
          <w:szCs w:val="32"/>
          <w:lang w:val="en-US" w:eastAsia="zh-CN"/>
        </w:rPr>
        <w:t>2019年我部门选取了优抚对象抚恤、生活补助资金进行了部门重点绩效评价。共发放补助资金792.06万元，包括春节、“八一”</w:t>
      </w:r>
      <w:r>
        <w:rPr>
          <w:rFonts w:hint="eastAsia" w:ascii="仿宋_GB2312" w:eastAsia="仿宋_GB2312" w:cs="DengXian-Regular"/>
          <w:sz w:val="32"/>
          <w:szCs w:val="32"/>
        </w:rPr>
        <w:t>慰问</w:t>
      </w:r>
      <w:r>
        <w:rPr>
          <w:rFonts w:hint="eastAsia" w:ascii="仿宋_GB2312" w:eastAsia="仿宋_GB2312" w:cs="DengXian-Regular"/>
          <w:sz w:val="32"/>
          <w:szCs w:val="32"/>
          <w:lang w:eastAsia="zh-CN"/>
        </w:rPr>
        <w:t>资金</w:t>
      </w:r>
      <w:r>
        <w:rPr>
          <w:rFonts w:hint="eastAsia" w:ascii="仿宋_GB2312" w:eastAsia="仿宋_GB2312" w:cs="DengXian-Regular"/>
          <w:sz w:val="32"/>
          <w:szCs w:val="32"/>
        </w:rPr>
        <w:t>、义务兵家庭优待金、进疆进藏</w:t>
      </w:r>
      <w:r>
        <w:rPr>
          <w:rFonts w:hint="eastAsia" w:ascii="仿宋_GB2312" w:eastAsia="仿宋_GB2312" w:cs="DengXian-Regular"/>
          <w:sz w:val="32"/>
          <w:szCs w:val="32"/>
          <w:lang w:eastAsia="zh-CN"/>
        </w:rPr>
        <w:t>特别优待金</w:t>
      </w:r>
      <w:r>
        <w:rPr>
          <w:rFonts w:hint="eastAsia" w:ascii="仿宋_GB2312" w:eastAsia="仿宋_GB2312" w:cs="DengXian-Regular"/>
          <w:sz w:val="32"/>
          <w:szCs w:val="32"/>
        </w:rPr>
        <w:t>、</w:t>
      </w:r>
      <w:r>
        <w:rPr>
          <w:rFonts w:hint="eastAsia" w:ascii="仿宋_GB2312" w:eastAsia="仿宋_GB2312" w:cs="DengXian-Regular"/>
          <w:sz w:val="32"/>
          <w:szCs w:val="32"/>
          <w:lang w:eastAsia="zh-CN"/>
        </w:rPr>
        <w:t>重点优抚对象</w:t>
      </w:r>
      <w:r>
        <w:rPr>
          <w:rFonts w:hint="eastAsia" w:ascii="仿宋_GB2312" w:eastAsia="仿宋_GB2312" w:cs="DengXian-Regular"/>
          <w:sz w:val="32"/>
          <w:szCs w:val="32"/>
        </w:rPr>
        <w:t>取暖费</w:t>
      </w:r>
      <w:r>
        <w:rPr>
          <w:rFonts w:hint="eastAsia" w:ascii="仿宋_GB2312" w:eastAsia="仿宋_GB2312" w:cs="DengXian-Regular"/>
          <w:sz w:val="32"/>
          <w:szCs w:val="32"/>
          <w:lang w:eastAsia="zh-CN"/>
        </w:rPr>
        <w:t>及</w:t>
      </w:r>
      <w:r>
        <w:rPr>
          <w:rFonts w:hint="eastAsia" w:ascii="仿宋_GB2312" w:eastAsia="仿宋_GB2312" w:cs="DengXian-Regular"/>
          <w:sz w:val="32"/>
          <w:szCs w:val="32"/>
        </w:rPr>
        <w:t>价格临时补贴</w:t>
      </w:r>
      <w:r>
        <w:rPr>
          <w:rFonts w:hint="eastAsia" w:ascii="仿宋_GB2312" w:eastAsia="仿宋_GB2312" w:cs="DengXian-Regular"/>
          <w:sz w:val="32"/>
          <w:szCs w:val="32"/>
          <w:lang w:val="en-US" w:eastAsia="zh-CN"/>
        </w:rPr>
        <w:t>，享受抚恤、生活补助补贴人数5170人，享受义务兵家庭优待户数47户，补贴足额拨付率100%，各类优抚对象抚恤补助标准、义务兵家庭优待金标准按规定执行率100%，优抚对象抚恤补助资金、价格临时补贴、义务兵家庭优待金及时拨付率100%，有效改善了各类优抚对象的生活情况，落实了义务兵家庭优待相关政策，98%的优抚对象对我们的抚恤、优待工作表示满意，重点项目绩效评价结果为优秀。</w:t>
      </w:r>
    </w:p>
    <w:p>
      <w:pPr>
        <w:keepNext/>
        <w:keepLines/>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3.部门整体绩效自评结果。</w:t>
      </w:r>
      <w:r>
        <w:rPr>
          <w:rFonts w:ascii="Times New Roman" w:hAnsi="Times New Roman" w:eastAsia="仿宋_GB2312" w:cs="Times New Roman"/>
          <w:sz w:val="32"/>
          <w:szCs w:val="32"/>
        </w:rPr>
        <w:t>本部门对2019年度部门整体绩效进行自评价，自评得分</w:t>
      </w:r>
      <w:r>
        <w:rPr>
          <w:rFonts w:hint="eastAsia" w:ascii="Times New Roman" w:hAnsi="Times New Roman" w:eastAsia="仿宋_GB2312" w:cs="Times New Roman"/>
          <w:sz w:val="32"/>
          <w:szCs w:val="32"/>
          <w:lang w:val="en-US" w:eastAsia="zh-CN"/>
        </w:rPr>
        <w:t>88</w:t>
      </w:r>
      <w:r>
        <w:rPr>
          <w:rFonts w:ascii="Times New Roman" w:hAnsi="Times New Roman" w:eastAsia="仿宋_GB2312" w:cs="Times New Roman"/>
          <w:sz w:val="32"/>
          <w:szCs w:val="32"/>
        </w:rPr>
        <w:t>分，评价等级为优。从评价情况来看，我局较好完成了2019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黑体" w:cs="Times New Roman"/>
          <w:color w:val="000000"/>
          <w:sz w:val="32"/>
          <w:szCs w:val="40"/>
        </w:rPr>
      </w:pPr>
    </w:p>
    <w:p>
      <w:pPr>
        <w:adjustRightInd w:val="0"/>
        <w:snapToGrid w:val="0"/>
        <w:spacing w:line="580" w:lineRule="exact"/>
        <w:rPr>
          <w:rFonts w:ascii="Times New Roman" w:hAnsi="Times New Roman" w:eastAsia="黑体" w:cs="Times New Roman"/>
          <w:color w:val="000000"/>
          <w:sz w:val="32"/>
          <w:szCs w:val="40"/>
        </w:rPr>
      </w:pP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pPr>
    </w:p>
    <w:tbl>
      <w:tblPr>
        <w:tblStyle w:val="7"/>
        <w:tblW w:w="8861" w:type="dxa"/>
        <w:tblInd w:w="15" w:type="dxa"/>
        <w:tblLayout w:type="fixed"/>
        <w:tblCellMar>
          <w:top w:w="0" w:type="dxa"/>
          <w:left w:w="0" w:type="dxa"/>
          <w:bottom w:w="0" w:type="dxa"/>
          <w:right w:w="0" w:type="dxa"/>
        </w:tblCellMar>
      </w:tblPr>
      <w:tblGrid>
        <w:gridCol w:w="586"/>
        <w:gridCol w:w="626"/>
        <w:gridCol w:w="1198"/>
        <w:gridCol w:w="997"/>
        <w:gridCol w:w="972"/>
        <w:gridCol w:w="28"/>
        <w:gridCol w:w="993"/>
        <w:gridCol w:w="927"/>
        <w:gridCol w:w="196"/>
        <w:gridCol w:w="336"/>
        <w:gridCol w:w="434"/>
        <w:gridCol w:w="112"/>
        <w:gridCol w:w="784"/>
        <w:gridCol w:w="646"/>
        <w:gridCol w:w="26"/>
      </w:tblGrid>
      <w:tr>
        <w:tblPrEx>
          <w:tblLayout w:type="fixed"/>
          <w:tblCellMar>
            <w:top w:w="0" w:type="dxa"/>
            <w:left w:w="0" w:type="dxa"/>
            <w:bottom w:w="0" w:type="dxa"/>
            <w:right w:w="0" w:type="dxa"/>
          </w:tblCellMar>
        </w:tblPrEx>
        <w:trPr>
          <w:gridAfter w:val="1"/>
          <w:wAfter w:w="26" w:type="dxa"/>
          <w:trHeight w:val="391"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36"/>
                <w:szCs w:val="36"/>
              </w:rPr>
            </w:pPr>
            <w:r>
              <w:rPr>
                <w:rFonts w:eastAsia="方正小标宋简体"/>
                <w:kern w:val="0"/>
                <w:sz w:val="36"/>
                <w:szCs w:val="36"/>
              </w:rPr>
              <w:t>项目支出绩效自评表</w:t>
            </w:r>
          </w:p>
        </w:tc>
      </w:tr>
      <w:tr>
        <w:tblPrEx>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2019</w:t>
            </w:r>
            <w:r>
              <w:rPr>
                <w:rFonts w:eastAsia="仿宋_GB2312"/>
                <w:kern w:val="0"/>
                <w:sz w:val="24"/>
              </w:rPr>
              <w:t>年度）</w:t>
            </w:r>
          </w:p>
        </w:tc>
      </w:tr>
      <w:tr>
        <w:tblPrEx>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优抚对象抚恤、生活补助资金</w:t>
            </w:r>
          </w:p>
        </w:tc>
      </w:tr>
      <w:tr>
        <w:tblPrEx>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大厂县退役军人事务局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976.37</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792.06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81.12%</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8.1</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Layout w:type="fixed"/>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00" w:lineRule="exact"/>
              <w:jc w:val="center"/>
              <w:rPr>
                <w:rFonts w:eastAsia="仿宋_GB2312"/>
                <w:kern w:val="0"/>
              </w:rPr>
            </w:pPr>
            <w:r>
              <w:rPr>
                <w:rFonts w:hint="eastAsia" w:eastAsia="仿宋_GB2312"/>
                <w:kern w:val="0"/>
              </w:rPr>
              <w:t>通过发放优抚对象抚恤补助、义务兵家庭优待金、光荣院补贴等资金，保障优抚对象的生活水平，落实好义务兵家庭优待问题。</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00" w:lineRule="exact"/>
              <w:jc w:val="center"/>
              <w:rPr>
                <w:rFonts w:eastAsia="仿宋_GB2312"/>
                <w:kern w:val="0"/>
                <w:sz w:val="24"/>
              </w:rPr>
            </w:pPr>
            <w:r>
              <w:rPr>
                <w:rFonts w:hint="eastAsia" w:eastAsia="仿宋_GB2312"/>
                <w:kern w:val="0"/>
              </w:rPr>
              <w:t>足额按时发放优抚对象抚恤补助、义务兵家庭优待金，及时拨付光荣院取暖补贴，保障了优抚对象的生活水平，义务兵家庭优待金发放到位。</w:t>
            </w:r>
          </w:p>
        </w:tc>
      </w:tr>
      <w:tr>
        <w:tblPrEx>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享受抚恤补助人数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宋体" w:hAnsi="宋体"/>
                <w:kern w:val="0"/>
                <w:sz w:val="24"/>
              </w:rPr>
              <w:t>≥</w:t>
            </w:r>
            <w:r>
              <w:rPr>
                <w:rFonts w:hint="eastAsia" w:eastAsia="仿宋_GB2312"/>
                <w:kern w:val="0"/>
                <w:sz w:val="24"/>
              </w:rPr>
              <w:t>5000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5170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享受义务兵家庭优待户数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宋体" w:hAnsi="宋体"/>
                <w:kern w:val="0"/>
                <w:sz w:val="24"/>
              </w:rPr>
              <w:t>≥</w:t>
            </w:r>
            <w:r>
              <w:rPr>
                <w:rFonts w:eastAsia="仿宋_GB2312"/>
                <w:kern w:val="0"/>
                <w:sz w:val="24"/>
              </w:rPr>
              <w:t>4</w:t>
            </w:r>
            <w:r>
              <w:rPr>
                <w:rFonts w:hint="eastAsia" w:eastAsia="仿宋_GB2312"/>
                <w:kern w:val="0"/>
                <w:sz w:val="24"/>
              </w:rPr>
              <w:t>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享受补助的光荣院个数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经费足额拨付率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各类优抚对象抚恤补助标准、义务兵家庭优待金标准按规定执行率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eastAsia="仿宋_GB2312"/>
                <w:color w:val="000000"/>
                <w:kern w:val="0"/>
                <w:sz w:val="18"/>
                <w:szCs w:val="18"/>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优抚对象抚恤补助资金、光荣院取暖补贴、义务兵家庭优待金及时拨付率</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hint="eastAsia" w:eastAsia="仿宋_GB2312"/>
                <w:kern w:val="0"/>
                <w:sz w:val="24"/>
              </w:rPr>
              <w:t>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hint="eastAsia" w:eastAsia="仿宋_GB2312"/>
                <w:kern w:val="0"/>
                <w:sz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00" w:lineRule="exact"/>
              <w:jc w:val="center"/>
              <w:rPr>
                <w:rFonts w:eastAsia="仿宋_GB2312"/>
                <w:color w:val="000000"/>
                <w:kern w:val="0"/>
                <w:sz w:val="18"/>
                <w:szCs w:val="18"/>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优抚对象生活情况</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18"/>
                <w:szCs w:val="18"/>
              </w:rPr>
            </w:pPr>
            <w:r>
              <w:rPr>
                <w:rFonts w:hint="eastAsia" w:eastAsia="仿宋_GB2312"/>
                <w:color w:val="000000"/>
                <w:kern w:val="0"/>
                <w:sz w:val="18"/>
                <w:szCs w:val="18"/>
              </w:rPr>
              <w:t>有效改善</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color w:val="000000"/>
                <w:kern w:val="0"/>
                <w:sz w:val="18"/>
                <w:szCs w:val="18"/>
              </w:rPr>
              <w:t>有效改善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hint="eastAsia" w:eastAsia="仿宋_GB2312"/>
                <w:kern w:val="0"/>
                <w:sz w:val="24"/>
              </w:rPr>
              <w:t>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hint="eastAsia" w:eastAsia="仿宋_GB2312"/>
                <w:kern w:val="0"/>
                <w:sz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优抚对象满意度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98.1</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ascii="Times New Roman" w:hAnsi="Times New Roman" w:cs="Times New Roman"/>
          <w:color w:val="000000" w:themeColor="text1"/>
          <w14:textFill>
            <w14:solidFill>
              <w14:schemeClr w14:val="tx1"/>
            </w14:solidFill>
          </w14:textFill>
        </w:rPr>
        <w:sectPr>
          <w:headerReference r:id="rId22" w:type="default"/>
          <w:pgSz w:w="11906" w:h="16838"/>
          <w:pgMar w:top="1701" w:right="1417" w:bottom="1281" w:left="1417" w:header="851" w:footer="992" w:gutter="0"/>
          <w:pgNumType w:fmt="numberInDash"/>
          <w:cols w:space="0" w:num="1"/>
          <w:docGrid w:type="lines" w:linePitch="312" w:charSpace="0"/>
        </w:sectPr>
      </w:pPr>
    </w:p>
    <w:tbl>
      <w:tblPr>
        <w:tblStyle w:val="7"/>
        <w:tblW w:w="9072" w:type="dxa"/>
        <w:tblInd w:w="15" w:type="dxa"/>
        <w:tblLayout w:type="fixed"/>
        <w:tblCellMar>
          <w:top w:w="0" w:type="dxa"/>
          <w:left w:w="0" w:type="dxa"/>
          <w:bottom w:w="0" w:type="dxa"/>
          <w:right w:w="0" w:type="dxa"/>
        </w:tblCellMar>
      </w:tblPr>
      <w:tblGrid>
        <w:gridCol w:w="586"/>
        <w:gridCol w:w="626"/>
        <w:gridCol w:w="1198"/>
        <w:gridCol w:w="997"/>
        <w:gridCol w:w="1000"/>
        <w:gridCol w:w="129"/>
        <w:gridCol w:w="864"/>
        <w:gridCol w:w="927"/>
        <w:gridCol w:w="196"/>
        <w:gridCol w:w="336"/>
        <w:gridCol w:w="434"/>
        <w:gridCol w:w="112"/>
        <w:gridCol w:w="784"/>
        <w:gridCol w:w="646"/>
        <w:gridCol w:w="237"/>
      </w:tblGrid>
      <w:tr>
        <w:tblPrEx>
          <w:tblLayout w:type="fixed"/>
          <w:tblCellMar>
            <w:top w:w="0" w:type="dxa"/>
            <w:left w:w="0" w:type="dxa"/>
            <w:bottom w:w="0" w:type="dxa"/>
            <w:right w:w="0" w:type="dxa"/>
          </w:tblCellMar>
        </w:tblPrEx>
        <w:trPr>
          <w:gridAfter w:val="1"/>
          <w:wAfter w:w="237"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宋体" w:hAnsi="宋体" w:cs="宋体"/>
                <w:kern w:val="0"/>
                <w:sz w:val="44"/>
                <w:szCs w:val="44"/>
              </w:rPr>
              <w:t>项目支出绩效自评表</w:t>
            </w:r>
          </w:p>
        </w:tc>
      </w:tr>
      <w:tr>
        <w:tblPrEx>
          <w:tblLayout w:type="fixed"/>
          <w:tblCellMar>
            <w:top w:w="0" w:type="dxa"/>
            <w:left w:w="0" w:type="dxa"/>
            <w:bottom w:w="0" w:type="dxa"/>
            <w:right w:w="0" w:type="dxa"/>
          </w:tblCellMar>
        </w:tblPrEx>
        <w:trPr>
          <w:trHeight w:val="259" w:hRule="atLeast"/>
        </w:trPr>
        <w:tc>
          <w:tcPr>
            <w:tcW w:w="9072"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2019</w:t>
            </w:r>
            <w:r>
              <w:rPr>
                <w:rFonts w:eastAsia="仿宋_GB2312"/>
                <w:kern w:val="0"/>
                <w:sz w:val="24"/>
              </w:rPr>
              <w:t>年度）</w:t>
            </w:r>
          </w:p>
        </w:tc>
      </w:tr>
      <w:tr>
        <w:tblPrEx>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860"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优抚对象医疗保障经费</w:t>
            </w:r>
          </w:p>
        </w:tc>
      </w:tr>
      <w:tr>
        <w:tblPrEx>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大厂县退役军人事务局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549"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88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93.6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91.62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97.88%</w:t>
            </w:r>
          </w:p>
        </w:tc>
        <w:tc>
          <w:tcPr>
            <w:tcW w:w="88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9.8</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67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Layout w:type="fixed"/>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180" w:lineRule="exact"/>
              <w:jc w:val="center"/>
              <w:rPr>
                <w:rFonts w:eastAsia="仿宋_GB2312"/>
                <w:kern w:val="0"/>
              </w:rPr>
            </w:pPr>
            <w:r>
              <w:rPr>
                <w:rFonts w:hint="eastAsia" w:eastAsia="仿宋_GB2312"/>
                <w:kern w:val="0"/>
              </w:rPr>
              <w:t>通过发放优抚对象医疗补助资金，对优抚对象参保缴费住院和门诊费用进行补助，保障参试人员年度健康体检有序进行，有效帮助解决优抚对象医疗难问题。</w:t>
            </w:r>
          </w:p>
        </w:tc>
        <w:tc>
          <w:tcPr>
            <w:tcW w:w="3672" w:type="dxa"/>
            <w:gridSpan w:val="8"/>
            <w:tcBorders>
              <w:top w:val="single" w:color="auto" w:sz="4" w:space="0"/>
              <w:left w:val="nil"/>
              <w:bottom w:val="single" w:color="auto" w:sz="4" w:space="0"/>
              <w:right w:val="single" w:color="auto" w:sz="4" w:space="0"/>
              <w:tl2br w:val="nil"/>
              <w:tr2bl w:val="nil"/>
            </w:tcBorders>
            <w:vAlign w:val="center"/>
          </w:tcPr>
          <w:p>
            <w:pPr>
              <w:widowControl/>
              <w:spacing w:line="180" w:lineRule="exact"/>
              <w:jc w:val="center"/>
              <w:rPr>
                <w:rFonts w:eastAsia="仿宋_GB2312"/>
                <w:kern w:val="0"/>
              </w:rPr>
            </w:pPr>
            <w:r>
              <w:rPr>
                <w:rFonts w:hint="eastAsia" w:eastAsia="仿宋_GB2312"/>
                <w:kern w:val="0"/>
              </w:rPr>
              <w:t>通过发放优抚对象医疗补助资金，对优抚对象参保缴费住院和门诊费用进行了补助，为参试人员进行了健康体检，有效帮助了优抚对象解决医疗难问题。</w:t>
            </w:r>
          </w:p>
        </w:tc>
      </w:tr>
      <w:tr>
        <w:tblPrEx>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享受医疗待遇优抚对象人次</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宋体" w:hAnsi="宋体"/>
                <w:kern w:val="0"/>
                <w:sz w:val="24"/>
              </w:rPr>
              <w:t>≦1320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877</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享受参试人员健康体检人数</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宋体" w:hAnsi="宋体"/>
                <w:kern w:val="0"/>
                <w:sz w:val="24"/>
              </w:rPr>
              <w:t>=4</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经费足额拨付率</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eastAsia="仿宋_GB2312"/>
                <w:color w:val="000000"/>
                <w:kern w:val="0"/>
                <w:sz w:val="18"/>
                <w:szCs w:val="18"/>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医疗补助资金标准按规定执行率</w:t>
            </w:r>
          </w:p>
        </w:tc>
        <w:tc>
          <w:tcPr>
            <w:tcW w:w="86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18"/>
                <w:szCs w:val="18"/>
              </w:rPr>
              <w:t>优抚对象生活医疗改善情况</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180" w:lineRule="exact"/>
              <w:rPr>
                <w:rFonts w:eastAsia="仿宋_GB2312"/>
                <w:kern w:val="0"/>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优抚对象满意度</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vMerge w:val="continue"/>
            <w:tcBorders>
              <w:top w:val="nil"/>
              <w:left w:val="single" w:color="auto" w:sz="4" w:space="0"/>
              <w:bottom w:val="single" w:color="auto" w:sz="4" w:space="0"/>
              <w:right w:val="single" w:color="auto" w:sz="4" w:space="0"/>
              <w:tl2br w:val="nil"/>
              <w:tr2bl w:val="nil"/>
            </w:tcBorders>
            <w:vAlign w:val="center"/>
          </w:tcPr>
          <w:p/>
        </w:tc>
        <w:tc>
          <w:tcPr>
            <w:tcW w:w="212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Layout w:type="fixed"/>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99.8</w:t>
            </w:r>
          </w:p>
        </w:tc>
        <w:tc>
          <w:tcPr>
            <w:tcW w:w="166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tbl>
      <w:tblPr>
        <w:tblStyle w:val="7"/>
        <w:tblW w:w="13902" w:type="dxa"/>
        <w:tblInd w:w="0" w:type="dxa"/>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Layout w:type="fixed"/>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4"/>
                <w:rFonts w:ascii="Times New Roman" w:hAnsi="Times New Roman" w:eastAsia="方正小标宋简体" w:cs="Times New Roman"/>
                <w:sz w:val="44"/>
                <w:szCs w:val="44"/>
              </w:rPr>
            </w:pPr>
            <w:r>
              <w:rPr>
                <w:rFonts w:ascii="Times New Roman" w:hAnsi="Times New Roman" w:eastAsia="仿宋_GB2312" w:cs="Times New Roman"/>
                <w:b/>
                <w:bCs/>
                <w:sz w:val="32"/>
                <w:szCs w:val="32"/>
              </w:rPr>
              <w:br w:type="page"/>
            </w:r>
            <w:r>
              <w:rPr>
                <w:rStyle w:val="14"/>
                <w:rFonts w:ascii="Times New Roman" w:hAnsi="Times New Roman" w:eastAsia="方正小标宋简体" w:cs="Times New Roman"/>
                <w:sz w:val="44"/>
                <w:szCs w:val="44"/>
              </w:rPr>
              <w:t>部门（单位）整体绩效自评表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年度）</w:t>
            </w:r>
          </w:p>
        </w:tc>
      </w:tr>
      <w:tr>
        <w:tblPrEx>
          <w:tblLayout w:type="fixed"/>
          <w:tblCellMar>
            <w:top w:w="0" w:type="dxa"/>
            <w:left w:w="0" w:type="dxa"/>
            <w:bottom w:w="0" w:type="dxa"/>
            <w:right w:w="0" w:type="dxa"/>
          </w:tblCellMar>
        </w:tblPrEx>
        <w:trPr>
          <w:trHeight w:val="355"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部门（单位）名称</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拟对应安排的重点项目</w:t>
            </w:r>
            <w:r>
              <w:rPr>
                <w:rStyle w:val="19"/>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预算数</w:t>
            </w:r>
            <w:r>
              <w:rPr>
                <w:rStyle w:val="19"/>
                <w:rFonts w:eastAsia="等线"/>
              </w:rPr>
              <w:br w:type="textWrapping"/>
            </w:r>
            <w:r>
              <w:rPr>
                <w:rStyle w:val="18"/>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执行数</w:t>
            </w:r>
            <w:r>
              <w:rPr>
                <w:rStyle w:val="19"/>
                <w:rFonts w:eastAsia="等线"/>
              </w:rPr>
              <w:br w:type="textWrapping"/>
            </w:r>
            <w:r>
              <w:rPr>
                <w:rStyle w:val="18"/>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其中：财政拨款</w:t>
            </w:r>
          </w:p>
        </w:tc>
      </w:tr>
      <w:tr>
        <w:tblPrEx>
          <w:tblLayout w:type="fixed"/>
          <w:tblCellMar>
            <w:top w:w="0" w:type="dxa"/>
            <w:left w:w="0" w:type="dxa"/>
            <w:bottom w:w="0" w:type="dxa"/>
            <w:right w:w="0" w:type="dxa"/>
          </w:tblCellMar>
        </w:tblPrEx>
        <w:trPr>
          <w:trHeight w:val="115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default" w:ascii="Times New Roman" w:hAnsi="Times New Roman" w:eastAsia="等线" w:cs="Times New Roman"/>
                <w:color w:val="000000"/>
                <w:sz w:val="18"/>
                <w:szCs w:val="18"/>
                <w:lang w:val="en-US" w:eastAsia="zh-CN"/>
              </w:rPr>
            </w:pPr>
            <w:r>
              <w:rPr>
                <w:rStyle w:val="18"/>
                <w:rFonts w:hint="eastAsia" w:ascii="Times New Roman" w:hAnsi="Times New Roman" w:eastAsia="等线" w:cs="Times New Roman"/>
                <w:lang w:val="en-US" w:eastAsia="zh-CN"/>
              </w:rPr>
              <w:t>落实各项优抚政策</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default" w:ascii="Times New Roman" w:hAnsi="Times New Roman" w:eastAsia="等线" w:cs="Times New Roman"/>
                <w:color w:val="000000"/>
                <w:sz w:val="18"/>
                <w:szCs w:val="18"/>
                <w:lang w:val="en-US" w:eastAsia="zh-CN"/>
              </w:rPr>
            </w:pPr>
            <w:r>
              <w:rPr>
                <w:rStyle w:val="18"/>
                <w:rFonts w:hint="eastAsia" w:ascii="Times New Roman" w:hAnsi="Times New Roman" w:eastAsia="等线" w:cs="Times New Roman"/>
                <w:lang w:val="en-US" w:eastAsia="zh-CN"/>
              </w:rPr>
              <w:t>优待抚恤政策落实到位，及时发放各类优抚资金</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eastAsia="宋体" w:cs="Times New Roman"/>
                <w:color w:val="000000"/>
                <w:kern w:val="0"/>
                <w:sz w:val="18"/>
                <w:szCs w:val="18"/>
                <w:lang w:val="en-US" w:eastAsia="zh-CN"/>
              </w:rPr>
              <w:t>重点优抚对象抚恤补助资金</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补贴资金及时发放</w:t>
            </w:r>
          </w:p>
          <w:p>
            <w:pPr>
              <w:rPr>
                <w:rFonts w:hint="default" w:ascii="Times New Roman" w:hAnsi="Times New Roman" w:eastAsia="等线" w:cs="Times New Roman"/>
                <w:color w:val="000000"/>
                <w:sz w:val="18"/>
                <w:szCs w:val="18"/>
                <w:lang w:val="en-US" w:eastAsia="zh-CN"/>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eastAsia="仿宋_GB2312"/>
                <w:kern w:val="0"/>
                <w:sz w:val="24"/>
              </w:rPr>
              <w:t>976.37</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eastAsia="仿宋_GB2312"/>
                <w:kern w:val="0"/>
                <w:sz w:val="24"/>
              </w:rPr>
              <w:t>792.06</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eastAsia="仿宋_GB2312"/>
                <w:kern w:val="0"/>
                <w:sz w:val="24"/>
              </w:rPr>
              <w:t>792.06</w:t>
            </w:r>
          </w:p>
        </w:tc>
      </w:tr>
      <w:tr>
        <w:tblPrEx>
          <w:tblLayout w:type="fixed"/>
          <w:tblCellMar>
            <w:top w:w="0" w:type="dxa"/>
            <w:left w:w="0" w:type="dxa"/>
            <w:bottom w:w="0" w:type="dxa"/>
            <w:right w:w="0" w:type="dxa"/>
          </w:tblCellMar>
        </w:tblPrEx>
        <w:trPr>
          <w:trHeight w:val="41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textAlignment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完成各项移交安置工作</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移交安置质量显著提升</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自主就业一次性经济补助资金</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一次性经济补助金及时发放</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eastAsia="仿宋_GB2312"/>
                <w:kern w:val="0"/>
                <w:sz w:val="24"/>
                <w:lang w:val="en-US" w:eastAsia="zh-CN"/>
              </w:rPr>
            </w:pPr>
            <w:r>
              <w:rPr>
                <w:rFonts w:hint="eastAsia" w:eastAsia="仿宋_GB2312"/>
                <w:kern w:val="0"/>
                <w:sz w:val="24"/>
                <w:lang w:val="en-US" w:eastAsia="zh-CN"/>
              </w:rPr>
              <w:t>143.11</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eastAsia="仿宋_GB2312"/>
                <w:kern w:val="0"/>
                <w:sz w:val="24"/>
                <w:lang w:val="en-US" w:eastAsia="zh-CN"/>
              </w:rPr>
            </w:pPr>
            <w:r>
              <w:rPr>
                <w:rFonts w:hint="eastAsia" w:eastAsia="仿宋_GB2312"/>
                <w:kern w:val="0"/>
                <w:sz w:val="24"/>
                <w:lang w:val="en-US" w:eastAsia="zh-CN"/>
              </w:rPr>
              <w:t>98.75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eastAsia="仿宋_GB2312"/>
                <w:kern w:val="0"/>
                <w:sz w:val="24"/>
                <w:lang w:val="en-US" w:eastAsia="zh-CN"/>
              </w:rPr>
            </w:pPr>
            <w:r>
              <w:rPr>
                <w:rFonts w:hint="eastAsia" w:eastAsia="仿宋_GB2312"/>
                <w:kern w:val="0"/>
                <w:sz w:val="24"/>
                <w:lang w:val="en-US" w:eastAsia="zh-CN"/>
              </w:rPr>
              <w:t>98.75</w:t>
            </w:r>
          </w:p>
        </w:tc>
      </w:tr>
      <w:tr>
        <w:tblPrEx>
          <w:tblLayout w:type="fixed"/>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6686"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金额合计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eastAsia="仿宋_GB2312"/>
                <w:kern w:val="0"/>
                <w:sz w:val="24"/>
                <w:lang w:val="en-US" w:eastAsia="zh-CN"/>
              </w:rPr>
            </w:pPr>
            <w:r>
              <w:rPr>
                <w:rFonts w:hint="eastAsia" w:eastAsia="仿宋_GB2312"/>
                <w:kern w:val="0"/>
                <w:sz w:val="24"/>
                <w:lang w:val="en-US" w:eastAsia="zh-CN"/>
              </w:rPr>
              <w:t>1119.48</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eastAsia="仿宋_GB2312"/>
                <w:kern w:val="0"/>
                <w:sz w:val="24"/>
                <w:lang w:val="en-US" w:eastAsia="zh-CN"/>
              </w:rPr>
            </w:pPr>
            <w:r>
              <w:rPr>
                <w:rFonts w:hint="eastAsia" w:eastAsia="仿宋_GB2312"/>
                <w:kern w:val="0"/>
                <w:sz w:val="24"/>
                <w:lang w:val="en-US" w:eastAsia="zh-CN"/>
              </w:rPr>
              <w:t>890.81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eastAsia="仿宋_GB2312"/>
                <w:kern w:val="0"/>
                <w:sz w:val="24"/>
              </w:rPr>
            </w:pPr>
            <w:r>
              <w:rPr>
                <w:rFonts w:hint="eastAsia" w:eastAsia="仿宋_GB2312"/>
                <w:kern w:val="0"/>
                <w:sz w:val="24"/>
                <w:lang w:val="en-US" w:eastAsia="zh-CN"/>
              </w:rPr>
              <w:t>890.81</w:t>
            </w:r>
          </w:p>
        </w:tc>
      </w:tr>
      <w:tr>
        <w:tblPrEx>
          <w:tblLayout w:type="fixed"/>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仿宋_GB2312"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714"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自评得分</w:t>
            </w:r>
          </w:p>
        </w:tc>
      </w:tr>
      <w:tr>
        <w:tblPrEx>
          <w:tblLayout w:type="fixed"/>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资金</w:t>
            </w:r>
            <w:r>
              <w:rPr>
                <w:rStyle w:val="20"/>
                <w:rFonts w:ascii="Times New Roman" w:hAnsi="Times New Roman" w:cs="Times New Roman"/>
              </w:rPr>
              <w:br w:type="textWrapping"/>
            </w:r>
            <w:r>
              <w:rPr>
                <w:rStyle w:val="20"/>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预算完成率</w:t>
            </w:r>
            <w:r>
              <w:rPr>
                <w:rStyle w:val="21"/>
                <w:rFonts w:eastAsia="等线"/>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85%</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我单位2019年新成立，无年初预算数</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支出进度率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70%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Layout w:type="fixed"/>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9"/>
                <w:rFonts w:eastAsia="等线"/>
              </w:rPr>
              <w:t>“</w:t>
            </w:r>
            <w:r>
              <w:rPr>
                <w:rStyle w:val="18"/>
                <w:rFonts w:ascii="Times New Roman" w:hAnsi="Times New Roman" w:cs="Times New Roman"/>
              </w:rPr>
              <w:t>三公经费</w:t>
            </w:r>
            <w:r>
              <w:rPr>
                <w:rStyle w:val="19"/>
                <w:rFonts w:eastAsia="等线"/>
              </w:rPr>
              <w:t>”</w:t>
            </w:r>
            <w:r>
              <w:rPr>
                <w:rStyle w:val="18"/>
                <w:rFonts w:ascii="Times New Roman" w:hAnsi="Times New Roman" w:cs="Times New Roman"/>
              </w:rPr>
              <w:t>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rPr>
            </w:pPr>
            <w:r>
              <w:rPr>
                <w:rFonts w:hint="eastAsia" w:ascii="Times New Roman" w:hAnsi="Times New Roman" w:eastAsia="等线" w:cs="Times New Roman"/>
                <w:color w:val="000000"/>
                <w:sz w:val="18"/>
                <w:szCs w:val="18"/>
                <w:lang w:val="en-US" w:eastAsia="zh-CN"/>
              </w:rPr>
              <w:t>我单位2019年新成立，无上年度支出总额</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我单位2019年新成立，无上年度结余结转</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rPr>
            </w:pPr>
            <w:r>
              <w:rPr>
                <w:rFonts w:hint="eastAsia" w:ascii="Times New Roman" w:hAnsi="Times New Roman" w:eastAsia="等线" w:cs="Times New Roman"/>
                <w:color w:val="000000"/>
                <w:sz w:val="18"/>
                <w:szCs w:val="18"/>
                <w:lang w:val="en-US" w:eastAsia="zh-CN"/>
              </w:rPr>
              <w:t>我单位2019年新成立，无政府采购预算数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Layout w:type="fixed"/>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规范</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Layout w:type="fixed"/>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w:t>
            </w:r>
          </w:p>
        </w:tc>
      </w:tr>
      <w:tr>
        <w:tblPrEx>
          <w:tblLayout w:type="fixed"/>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rPr>
            </w:pPr>
            <w:r>
              <w:rPr>
                <w:rFonts w:hint="eastAsia" w:ascii="Times New Roman" w:hAnsi="Times New Roman" w:eastAsia="等线" w:cs="Times New Roman"/>
                <w:color w:val="000000"/>
                <w:sz w:val="18"/>
                <w:szCs w:val="18"/>
                <w:lang w:val="en-US" w:eastAsia="zh-CN"/>
              </w:rPr>
              <w:t>我单位2019年新成立，无2019年预算及2018年决算</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Layout w:type="fixed"/>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rPr>
            </w:pPr>
            <w:r>
              <w:rPr>
                <w:rFonts w:hint="eastAsia" w:ascii="Times New Roman" w:hAnsi="Times New Roman" w:eastAsia="等线" w:cs="Times New Roman"/>
                <w:color w:val="000000"/>
                <w:sz w:val="18"/>
                <w:szCs w:val="18"/>
                <w:lang w:val="en-US" w:eastAsia="zh-CN"/>
              </w:rPr>
              <w:t>我单位2019年新成立，无2018年资金自评</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r>
      <w:tr>
        <w:tblPrEx>
          <w:tblLayout w:type="fixed"/>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2</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2</w:t>
            </w:r>
          </w:p>
        </w:tc>
      </w:tr>
      <w:tr>
        <w:tblPrEx>
          <w:tblLayout w:type="fixed"/>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部门产出（</w:t>
            </w:r>
            <w:r>
              <w:rPr>
                <w:rStyle w:val="19"/>
                <w:rFonts w:eastAsia="等线"/>
              </w:rPr>
              <w:t>40</w:t>
            </w:r>
            <w:r>
              <w:rPr>
                <w:rStyle w:val="18"/>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数</w:t>
            </w:r>
            <w:r>
              <w:rPr>
                <w:rStyle w:val="19"/>
                <w:rFonts w:eastAsia="宋体"/>
              </w:rPr>
              <w:t xml:space="preserve"> </w:t>
            </w:r>
            <w:r>
              <w:rPr>
                <w:rStyle w:val="20"/>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15</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质</w:t>
            </w:r>
            <w:r>
              <w:rPr>
                <w:rStyle w:val="19"/>
                <w:rFonts w:eastAsia="宋体"/>
              </w:rPr>
              <w:t xml:space="preserve"> </w:t>
            </w:r>
            <w:r>
              <w:rPr>
                <w:rStyle w:val="20"/>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10</w:t>
            </w:r>
          </w:p>
        </w:tc>
      </w:tr>
      <w:tr>
        <w:tblPrEx>
          <w:tblLayout w:type="fixed"/>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时</w:t>
            </w:r>
            <w:r>
              <w:rPr>
                <w:rStyle w:val="19"/>
                <w:rFonts w:eastAsia="宋体"/>
              </w:rPr>
              <w:t xml:space="preserve"> </w:t>
            </w:r>
            <w:r>
              <w:rPr>
                <w:rStyle w:val="20"/>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18"/>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10</w:t>
            </w:r>
          </w:p>
        </w:tc>
      </w:tr>
      <w:tr>
        <w:tblPrEx>
          <w:tblLayout w:type="fixed"/>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0"/>
                <w:rFonts w:ascii="Times New Roman" w:hAnsi="Times New Roman" w:cs="Times New Roman"/>
              </w:rPr>
              <w:t>成</w:t>
            </w:r>
            <w:r>
              <w:rPr>
                <w:rStyle w:val="19"/>
                <w:rFonts w:eastAsia="宋体"/>
              </w:rPr>
              <w:t xml:space="preserve"> </w:t>
            </w:r>
            <w:r>
              <w:rPr>
                <w:rStyle w:val="20"/>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&gt;0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按照县财政部门要求进行了压减</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r>
      <w:tr>
        <w:tblPrEx>
          <w:tblLayout w:type="fixed"/>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部门效果（</w:t>
            </w:r>
            <w:r>
              <w:rPr>
                <w:rStyle w:val="19"/>
                <w:rFonts w:eastAsia="等线"/>
              </w:rPr>
              <w:t>20</w:t>
            </w:r>
            <w:r>
              <w:rPr>
                <w:rStyle w:val="18"/>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Layout w:type="fixed"/>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落实国家拥军政策，弘扬双拥光荣传统</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hint="eastAsia" w:ascii="Times New Roman" w:hAnsi="Times New Roman" w:eastAsia="仿宋_GB2312" w:cs="Times New Roman"/>
                <w:lang w:val="en-US" w:eastAsia="zh-CN"/>
              </w:rPr>
            </w:pPr>
            <w:r>
              <w:rPr>
                <w:rStyle w:val="18"/>
                <w:rFonts w:hint="eastAsia" w:ascii="Times New Roman" w:hAnsi="Times New Roman" w:eastAsia="仿宋_GB2312" w:cs="Times New Roman"/>
                <w:lang w:val="en-US" w:eastAsia="zh-CN"/>
              </w:rPr>
              <w:t>有效落实</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18"/>
                <w:rFonts w:hint="eastAsia" w:ascii="Times New Roman" w:hAnsi="Times New Roman" w:eastAsia="仿宋_GB2312" w:cs="Times New Roman"/>
                <w:lang w:val="en-US" w:eastAsia="zh-CN"/>
              </w:rPr>
              <w:t>有效落实</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有效落实各项优抚政策</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eastAsia="仿宋_GB2312" w:cs="Times New Roman"/>
                <w:lang w:val="en-US" w:eastAsia="zh-CN"/>
              </w:rPr>
              <w:t>有效落实</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18"/>
                <w:rFonts w:hint="eastAsia" w:ascii="Times New Roman" w:hAnsi="Times New Roman" w:eastAsia="仿宋_GB2312" w:cs="Times New Roman"/>
                <w:lang w:val="en-US" w:eastAsia="zh-CN"/>
              </w:rPr>
              <w:t>有效落实</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保障自主就业退役士兵政策落实到位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eastAsia="仿宋_GB2312" w:cs="Times New Roman"/>
                <w:lang w:val="en-US" w:eastAsia="zh-CN"/>
              </w:rPr>
              <w:t>有效保障</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18"/>
                <w:rFonts w:hint="eastAsia" w:ascii="Times New Roman" w:hAnsi="Times New Roman" w:eastAsia="仿宋_GB2312" w:cs="Times New Roman"/>
                <w:lang w:val="en-US" w:eastAsia="zh-CN"/>
              </w:rPr>
              <w:t>有效保障</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保障军转干部合法权益</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hint="eastAsia" w:ascii="Times New Roman" w:hAnsi="Times New Roman" w:eastAsia="仿宋_GB2312" w:cs="Times New Roman"/>
                <w:lang w:val="en-US" w:eastAsia="zh-CN"/>
              </w:rPr>
              <w:t>有效保障</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18"/>
                <w:rFonts w:hint="eastAsia" w:ascii="Times New Roman" w:hAnsi="Times New Roman" w:eastAsia="仿宋_GB2312" w:cs="Times New Roman"/>
                <w:lang w:val="en-US" w:eastAsia="zh-CN"/>
              </w:rPr>
              <w:t>有效保障</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Layout w:type="fixed"/>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服务对象满意度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w:t>
            </w:r>
          </w:p>
        </w:tc>
      </w:tr>
      <w:tr>
        <w:tblPrEx>
          <w:tblLayout w:type="fixed"/>
          <w:tblCellMar>
            <w:top w:w="0" w:type="dxa"/>
            <w:left w:w="0" w:type="dxa"/>
            <w:bottom w:w="0" w:type="dxa"/>
            <w:right w:w="0" w:type="dxa"/>
          </w:tblCellMar>
        </w:tblPrEx>
        <w:trPr>
          <w:trHeight w:val="374"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18"/>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18"/>
                <w:rFonts w:ascii="Times New Roman" w:hAnsi="Times New Roman" w:cs="Times New Roman"/>
              </w:rPr>
            </w:pPr>
            <w:r>
              <w:rPr>
                <w:rStyle w:val="18"/>
                <w:rFonts w:ascii="Times New Roman" w:hAnsi="Times New Roman" w:cs="Times New Roman"/>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88</w:t>
            </w:r>
          </w:p>
        </w:tc>
      </w:tr>
      <w:tr>
        <w:tblPrEx>
          <w:tblLayout w:type="fixed"/>
          <w:tblCellMar>
            <w:top w:w="0" w:type="dxa"/>
            <w:left w:w="0" w:type="dxa"/>
            <w:bottom w:w="0" w:type="dxa"/>
            <w:right w:w="0" w:type="dxa"/>
          </w:tblCellMar>
        </w:tblPrEx>
        <w:trPr>
          <w:trHeight w:val="431"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Cs w:val="21"/>
              </w:rPr>
            </w:pPr>
            <w:r>
              <w:rPr>
                <w:rFonts w:ascii="Times New Roman" w:hAnsi="Times New Roman" w:eastAsia="宋体" w:cs="Times New Roman"/>
                <w:color w:val="000000"/>
                <w:kern w:val="0"/>
                <w:szCs w:val="21"/>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default" w:ascii="Times New Roman" w:hAnsi="Times New Roman" w:eastAsia="等线" w:cs="Times New Roman"/>
                <w:color w:val="000000"/>
                <w:sz w:val="22"/>
                <w:lang w:val="en-US" w:eastAsia="zh-CN"/>
              </w:rPr>
            </w:pPr>
            <w:r>
              <w:rPr>
                <w:rFonts w:hint="eastAsia" w:ascii="Times New Roman" w:hAnsi="Times New Roman" w:eastAsia="等线" w:cs="Times New Roman"/>
                <w:color w:val="000000"/>
                <w:sz w:val="22"/>
                <w:lang w:val="en-US" w:eastAsia="zh-CN"/>
              </w:rPr>
              <w:t>我部门整体绩效自评结果为优</w:t>
            </w:r>
          </w:p>
        </w:tc>
      </w:tr>
      <w:tr>
        <w:tblPrEx>
          <w:tblLayout w:type="fixed"/>
          <w:tblCellMar>
            <w:top w:w="0" w:type="dxa"/>
            <w:left w:w="0" w:type="dxa"/>
            <w:bottom w:w="0" w:type="dxa"/>
            <w:right w:w="0" w:type="dxa"/>
          </w:tblCellMar>
        </w:tblPrEx>
        <w:trPr>
          <w:trHeight w:val="493"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2019年我部门各项工作圆满完成，落实了退役军人各项待遇，维护了退役军人合法权益。</w:t>
            </w:r>
          </w:p>
        </w:tc>
      </w:tr>
      <w:tr>
        <w:tblPrEx>
          <w:tblLayout w:type="fixed"/>
          <w:tblCellMar>
            <w:top w:w="0" w:type="dxa"/>
            <w:left w:w="0" w:type="dxa"/>
            <w:bottom w:w="0" w:type="dxa"/>
            <w:right w:w="0" w:type="dxa"/>
          </w:tblCellMar>
        </w:tblPrEx>
        <w:trPr>
          <w:trHeight w:val="452"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我部门预算执行率较低</w:t>
            </w:r>
          </w:p>
        </w:tc>
      </w:tr>
      <w:tr>
        <w:tblPrEx>
          <w:tblLayout w:type="fixed"/>
          <w:tblCellMar>
            <w:top w:w="0" w:type="dxa"/>
            <w:left w:w="0" w:type="dxa"/>
            <w:bottom w:w="0" w:type="dxa"/>
            <w:right w:w="0" w:type="dxa"/>
          </w:tblCellMar>
        </w:tblPrEx>
        <w:trPr>
          <w:trHeight w:val="513" w:hRule="atLeast"/>
        </w:trPr>
        <w:tc>
          <w:tcPr>
            <w:tcW w:w="5635"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0"/>
                <w:szCs w:val="20"/>
              </w:rPr>
            </w:pPr>
            <w:r>
              <w:rPr>
                <w:rFonts w:ascii="Times New Roman" w:hAnsi="Times New Roman" w:eastAsia="宋体" w:cs="Times New Roman"/>
                <w:color w:val="000000"/>
                <w:kern w:val="0"/>
                <w:sz w:val="20"/>
                <w:szCs w:val="20"/>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我部门预算执行率较低是由于年底预留了一部分资金用于2020年初重点优抚对象、军休人员及企业军转干部各类补贴发放工作。</w:t>
            </w:r>
          </w:p>
        </w:tc>
      </w:tr>
      <w:tr>
        <w:tblPrEx>
          <w:tblLayout w:type="fixed"/>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仿宋_GB2312" w:cs="Times New Roman"/>
                <w:color w:val="000000"/>
                <w:sz w:val="20"/>
                <w:szCs w:val="20"/>
              </w:rPr>
            </w:pPr>
            <w:r>
              <w:rPr>
                <w:rFonts w:ascii="Times New Roman" w:hAnsi="Times New Roman" w:eastAsia="仿宋_GB2312" w:cs="Times New Roman"/>
                <w:color w:val="000000"/>
                <w:kern w:val="0"/>
                <w:sz w:val="20"/>
                <w:szCs w:val="20"/>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1.</w:t>
            </w:r>
            <w:r>
              <w:rPr>
                <w:rStyle w:val="23"/>
                <w:rFonts w:ascii="Times New Roman" w:hAnsi="Times New Roman" w:cs="Times New Roman"/>
              </w:rPr>
              <w:t>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20"/>
                <w:szCs w:val="20"/>
                <w:lang w:val="en-US" w:eastAsia="zh-CN"/>
              </w:rPr>
            </w:pPr>
            <w:r>
              <w:rPr>
                <w:rFonts w:hint="eastAsia" w:ascii="Times New Roman" w:hAnsi="Times New Roman" w:cs="Times New Roman"/>
                <w:color w:val="000000"/>
                <w:sz w:val="20"/>
                <w:szCs w:val="20"/>
                <w:lang w:val="en-US" w:eastAsia="zh-CN"/>
              </w:rPr>
              <w:t>我部门将持续关注各项资金支付进度，督促局内各科室加快资金支付进度，减少年终结余结转，充分发挥财政资金的使用效益。</w:t>
            </w:r>
          </w:p>
        </w:tc>
      </w:tr>
      <w:tr>
        <w:tblPrEx>
          <w:tblLayout w:type="fixed"/>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2.</w:t>
            </w:r>
            <w:r>
              <w:rPr>
                <w:rStyle w:val="23"/>
                <w:rFonts w:ascii="Times New Roman" w:hAnsi="Times New Roman" w:cs="Times New Roman"/>
              </w:rPr>
              <w:t>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hint="default" w:ascii="Times New Roman" w:hAnsi="Times New Roman" w:cs="Times New Roman" w:eastAsiaTheme="minorEastAsia"/>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我部门将不断完善机关各项制度，规范人员管理及资产配置等工作，确保按文件规定执行到位。</w:t>
            </w:r>
          </w:p>
        </w:tc>
      </w:tr>
      <w:tr>
        <w:tblPrEx>
          <w:tblLayout w:type="fixed"/>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2"/>
                <w:rFonts w:eastAsia="等线"/>
              </w:rPr>
              <w:t>3.</w:t>
            </w:r>
            <w:r>
              <w:rPr>
                <w:rStyle w:val="23"/>
                <w:rFonts w:ascii="Times New Roman" w:hAnsi="Times New Roman" w:cs="Times New Roman"/>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cs="Times New Roman"/>
                <w:color w:val="000000"/>
                <w:sz w:val="20"/>
                <w:szCs w:val="20"/>
              </w:rPr>
            </w:pPr>
          </w:p>
        </w:tc>
      </w:tr>
    </w:tbl>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3"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5824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4"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51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551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61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561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572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582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438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5952"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4595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492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4492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643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6643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6848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6028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623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5648"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5648;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667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1792"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1792;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ONERDtoAAAAJAQAADwAAAAAAAAAB&#10;ACAAAAAiAAAAZHJzL2Rvd25yZXYueG1sUEsBAhQAFAAAAAgAh07iQH8GXnz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281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em7B7XAAAABwEAAA8AAAAAAAAAAQAgAAAAIgAAAGRycy9k&#10;b3ducmV2LnhtbFBLAQIUABQAAAAIAIdO4kDr8C28IAMAADUIAAAOAAAAAAAAAAEAIAAAACYBAABk&#10;cnMvZTJvRG9jLnhtbFBLBQYAAAAABgAGAFkBAAC4Bg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872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872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800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4800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697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4697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4902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4902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00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00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20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20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1072"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107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9504"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69504;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0528;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402ECD"/>
    <w:multiLevelType w:val="singleLevel"/>
    <w:tmpl w:val="B5402ECD"/>
    <w:lvl w:ilvl="0" w:tentative="0">
      <w:start w:val="2"/>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6B0F6C1A"/>
    <w:multiLevelType w:val="singleLevel"/>
    <w:tmpl w:val="6B0F6C1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5756F95"/>
    <w:rsid w:val="07694C76"/>
    <w:rsid w:val="0787121A"/>
    <w:rsid w:val="08E80762"/>
    <w:rsid w:val="09973D27"/>
    <w:rsid w:val="0A0C141C"/>
    <w:rsid w:val="0B011416"/>
    <w:rsid w:val="0F956E89"/>
    <w:rsid w:val="10A07E5F"/>
    <w:rsid w:val="117C77B5"/>
    <w:rsid w:val="128033F2"/>
    <w:rsid w:val="13890ED7"/>
    <w:rsid w:val="13D04E59"/>
    <w:rsid w:val="13DF3A89"/>
    <w:rsid w:val="19926A60"/>
    <w:rsid w:val="1C0F03FA"/>
    <w:rsid w:val="1C7A23CE"/>
    <w:rsid w:val="1F752A1A"/>
    <w:rsid w:val="23217C15"/>
    <w:rsid w:val="23AA2B82"/>
    <w:rsid w:val="2864717E"/>
    <w:rsid w:val="2CA14643"/>
    <w:rsid w:val="2EEA4487"/>
    <w:rsid w:val="30552D8C"/>
    <w:rsid w:val="30EE54E7"/>
    <w:rsid w:val="313B5724"/>
    <w:rsid w:val="31C2036A"/>
    <w:rsid w:val="320D02A5"/>
    <w:rsid w:val="32643911"/>
    <w:rsid w:val="32C15A9E"/>
    <w:rsid w:val="348E566F"/>
    <w:rsid w:val="358B53F3"/>
    <w:rsid w:val="36187E1B"/>
    <w:rsid w:val="3774225F"/>
    <w:rsid w:val="397C46E9"/>
    <w:rsid w:val="398E6EA4"/>
    <w:rsid w:val="3A226944"/>
    <w:rsid w:val="3A285AD6"/>
    <w:rsid w:val="3AEE6A48"/>
    <w:rsid w:val="3B50223E"/>
    <w:rsid w:val="3BE17154"/>
    <w:rsid w:val="3C1620AA"/>
    <w:rsid w:val="3C5D029F"/>
    <w:rsid w:val="3D8F080F"/>
    <w:rsid w:val="3E451E22"/>
    <w:rsid w:val="3E4B0DFA"/>
    <w:rsid w:val="404B1150"/>
    <w:rsid w:val="40775D9E"/>
    <w:rsid w:val="42203933"/>
    <w:rsid w:val="42957486"/>
    <w:rsid w:val="429F5FD2"/>
    <w:rsid w:val="44CE1FA4"/>
    <w:rsid w:val="46DD2401"/>
    <w:rsid w:val="487F73ED"/>
    <w:rsid w:val="4A347EAE"/>
    <w:rsid w:val="4A8A7F01"/>
    <w:rsid w:val="4B966906"/>
    <w:rsid w:val="4C737861"/>
    <w:rsid w:val="4EEF7185"/>
    <w:rsid w:val="512F1400"/>
    <w:rsid w:val="52600405"/>
    <w:rsid w:val="529B4319"/>
    <w:rsid w:val="53E005B0"/>
    <w:rsid w:val="53E55924"/>
    <w:rsid w:val="544E2423"/>
    <w:rsid w:val="557B7EF4"/>
    <w:rsid w:val="55AF5D27"/>
    <w:rsid w:val="57773DD6"/>
    <w:rsid w:val="578B79AB"/>
    <w:rsid w:val="579E5B02"/>
    <w:rsid w:val="5A8D4A60"/>
    <w:rsid w:val="5B160FCA"/>
    <w:rsid w:val="5CCD3FD5"/>
    <w:rsid w:val="5D0D23F5"/>
    <w:rsid w:val="5DD746A1"/>
    <w:rsid w:val="5FD45356"/>
    <w:rsid w:val="600F6882"/>
    <w:rsid w:val="61123667"/>
    <w:rsid w:val="61FA5F9D"/>
    <w:rsid w:val="643A6343"/>
    <w:rsid w:val="643D6373"/>
    <w:rsid w:val="64CD6910"/>
    <w:rsid w:val="6789158D"/>
    <w:rsid w:val="67916B89"/>
    <w:rsid w:val="67D81BA4"/>
    <w:rsid w:val="683B6102"/>
    <w:rsid w:val="685D3EED"/>
    <w:rsid w:val="69EB291D"/>
    <w:rsid w:val="6AAF1C96"/>
    <w:rsid w:val="6AE8196A"/>
    <w:rsid w:val="6D0577A9"/>
    <w:rsid w:val="6EAE167C"/>
    <w:rsid w:val="701B6EA3"/>
    <w:rsid w:val="71861AD0"/>
    <w:rsid w:val="727E6F71"/>
    <w:rsid w:val="72CF7F93"/>
    <w:rsid w:val="73484D0B"/>
    <w:rsid w:val="737E0481"/>
    <w:rsid w:val="75681757"/>
    <w:rsid w:val="75A346A8"/>
    <w:rsid w:val="75B76AD3"/>
    <w:rsid w:val="77BF0FB3"/>
    <w:rsid w:val="780B29D3"/>
    <w:rsid w:val="79B9382C"/>
    <w:rsid w:val="7B043B76"/>
    <w:rsid w:val="7C041A6A"/>
    <w:rsid w:val="7E327570"/>
    <w:rsid w:val="7F707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字符"/>
    <w:basedOn w:val="9"/>
    <w:link w:val="6"/>
    <w:qFormat/>
    <w:uiPriority w:val="99"/>
    <w:rPr>
      <w:rFonts w:asciiTheme="minorHAnsi" w:hAnsiTheme="minorHAnsi" w:eastAsiaTheme="minorEastAsia"/>
      <w:sz w:val="18"/>
      <w:szCs w:val="18"/>
    </w:rPr>
  </w:style>
  <w:style w:type="character" w:customStyle="1" w:styleId="11">
    <w:name w:val="页脚 字符"/>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4">
    <w:name w:val="font11"/>
    <w:qFormat/>
    <w:uiPriority w:val="0"/>
    <w:rPr>
      <w:rFonts w:ascii="仿宋_GB2312" w:eastAsia="仿宋_GB2312" w:cs="仿宋_GB2312"/>
      <w:color w:val="000000"/>
      <w:sz w:val="18"/>
      <w:szCs w:val="18"/>
      <w:u w:val="none"/>
      <w:lang w:bidi="ar-SA"/>
    </w:rPr>
  </w:style>
  <w:style w:type="character" w:customStyle="1" w:styleId="15">
    <w:name w:val="font112"/>
    <w:qFormat/>
    <w:uiPriority w:val="0"/>
    <w:rPr>
      <w:rFonts w:ascii="宋体" w:eastAsia="宋体" w:cs="宋体"/>
      <w:color w:val="000000"/>
      <w:sz w:val="18"/>
      <w:szCs w:val="18"/>
      <w:u w:val="none"/>
      <w:lang w:bidi="ar-SA"/>
    </w:rPr>
  </w:style>
  <w:style w:type="character" w:customStyle="1" w:styleId="16">
    <w:name w:val="font141"/>
    <w:qFormat/>
    <w:uiPriority w:val="0"/>
    <w:rPr>
      <w:rFonts w:ascii="Times New Roman" w:hAnsi="Times New Roman" w:cs="Times New Roman"/>
      <w:color w:val="000000"/>
      <w:sz w:val="18"/>
      <w:szCs w:val="18"/>
      <w:u w:val="none"/>
      <w:lang w:bidi="ar-SA"/>
    </w:rPr>
  </w:style>
  <w:style w:type="paragraph" w:styleId="17">
    <w:name w:val="List Paragraph"/>
    <w:basedOn w:val="1"/>
    <w:uiPriority w:val="99"/>
    <w:pPr>
      <w:ind w:firstLine="420" w:firstLineChars="200"/>
    </w:pPr>
  </w:style>
  <w:style w:type="character" w:customStyle="1" w:styleId="18">
    <w:name w:val="font171"/>
    <w:basedOn w:val="9"/>
    <w:qFormat/>
    <w:uiPriority w:val="0"/>
    <w:rPr>
      <w:rFonts w:ascii="仿宋_GB2312" w:eastAsia="仿宋_GB2312" w:cs="仿宋_GB2312"/>
      <w:color w:val="000000"/>
      <w:sz w:val="18"/>
      <w:szCs w:val="18"/>
      <w:u w:val="none"/>
    </w:rPr>
  </w:style>
  <w:style w:type="character" w:customStyle="1" w:styleId="19">
    <w:name w:val="font51"/>
    <w:basedOn w:val="9"/>
    <w:qFormat/>
    <w:uiPriority w:val="0"/>
    <w:rPr>
      <w:rFonts w:ascii="Times New Roman" w:hAnsi="Times New Roman" w:cs="Times New Roman"/>
      <w:color w:val="000000"/>
      <w:sz w:val="18"/>
      <w:szCs w:val="18"/>
      <w:u w:val="none"/>
    </w:rPr>
  </w:style>
  <w:style w:type="character" w:customStyle="1" w:styleId="20">
    <w:name w:val="font161"/>
    <w:basedOn w:val="9"/>
    <w:uiPriority w:val="0"/>
    <w:rPr>
      <w:rFonts w:ascii="宋体" w:eastAsia="宋体" w:cs="宋体"/>
      <w:color w:val="000000"/>
      <w:sz w:val="18"/>
      <w:szCs w:val="18"/>
      <w:u w:val="none"/>
    </w:rPr>
  </w:style>
  <w:style w:type="character" w:customStyle="1" w:styleId="21">
    <w:name w:val="font81"/>
    <w:basedOn w:val="9"/>
    <w:uiPriority w:val="0"/>
    <w:rPr>
      <w:rFonts w:ascii="Times New Roman" w:hAnsi="Times New Roman" w:cs="Times New Roman"/>
      <w:color w:val="000000"/>
      <w:sz w:val="21"/>
      <w:szCs w:val="21"/>
      <w:u w:val="none"/>
    </w:rPr>
  </w:style>
  <w:style w:type="character" w:customStyle="1" w:styleId="22">
    <w:name w:val="font121"/>
    <w:basedOn w:val="9"/>
    <w:uiPriority w:val="0"/>
    <w:rPr>
      <w:rFonts w:ascii="Times New Roman" w:hAnsi="Times New Roman" w:cs="Times New Roman"/>
      <w:color w:val="000000"/>
      <w:sz w:val="20"/>
      <w:szCs w:val="20"/>
      <w:u w:val="none"/>
    </w:rPr>
  </w:style>
  <w:style w:type="character" w:customStyle="1" w:styleId="23">
    <w:name w:val="font131"/>
    <w:basedOn w:val="9"/>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chart" Target="charts/chart3.xml"/><Relationship Id="rId28" Type="http://schemas.openxmlformats.org/officeDocument/2006/relationships/chart" Target="charts/chart2.xml"/><Relationship Id="rId27" Type="http://schemas.openxmlformats.org/officeDocument/2006/relationships/chart" Target="charts/chart1.xml"/><Relationship Id="rId26" Type="http://schemas.openxmlformats.org/officeDocument/2006/relationships/image" Target="media/image2.bmp"/><Relationship Id="rId25" Type="http://schemas.openxmlformats.org/officeDocument/2006/relationships/theme" Target="theme/theme1.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footer" Target="footer6.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4266;&#22346;&#24066;&#22823;&#21378;&#22238;&#26063;&#33258;&#27835;&#21439;&#36864;&#24441;&#20891;&#20154;&#20107;&#21153;&#23616;&#65288;&#26412;&#32423;&#65289;&#20915;&#31639;&#20844;&#2432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4266;&#22346;&#24066;&#22823;&#21378;&#22238;&#26063;&#33258;&#27835;&#21439;&#36864;&#24441;&#20891;&#20154;&#20107;&#21153;&#23616;&#65288;&#26412;&#32423;&#65289;&#20915;&#31639;&#20844;&#24320;&#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4266;&#22346;&#24066;&#22823;&#21378;&#22238;&#26063;&#33258;&#27835;&#21439;&#36864;&#24441;&#20891;&#20154;&#20107;&#21153;&#23616;&#65288;&#26412;&#32423;&#65289;&#20915;&#31639;&#20844;&#2432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图1：收入决算结构饼状图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rgbClr val="4F81BD"/>
              </a:solidFill>
              <a:ln w="25400">
                <a:solidFill>
                  <a:srgbClr val="FFFFFF"/>
                </a:solidFill>
              </a:ln>
              <a:effectLst/>
              <a:scene3d>
                <a:camera prst="orthographicFront"/>
                <a:lightRig rig="threePt" dir="t"/>
              </a:scene3d>
              <a:sp3d contourW="25400"/>
            </c:spPr>
          </c:dPt>
          <c:dPt>
            <c:idx val="1"/>
            <c:bubble3D val="0"/>
            <c:spPr>
              <a:solidFill>
                <a:srgbClr val="C0504D"/>
              </a:solidFill>
              <a:ln w="25400">
                <a:solidFill>
                  <a:srgbClr val="FFFFFF"/>
                </a:solidFill>
              </a:ln>
              <a:effectLst/>
              <a:scene3d>
                <a:camera prst="orthographicFront"/>
                <a:lightRig rig="threePt" dir="t"/>
              </a:scene3d>
              <a:sp3d contourW="25400"/>
            </c:spPr>
          </c:dPt>
          <c:dPt>
            <c:idx val="2"/>
            <c:bubble3D val="0"/>
            <c:spPr>
              <a:solidFill>
                <a:srgbClr val="9BBB59"/>
              </a:solidFill>
              <a:ln w="25400">
                <a:solidFill>
                  <a:srgbClr val="FFFFFF"/>
                </a:solidFill>
              </a:ln>
              <a:effectLst/>
              <a:scene3d>
                <a:camera prst="orthographicFront"/>
                <a:lightRig rig="threePt" dir="t"/>
              </a:scene3d>
              <a:sp3d contourW="25400"/>
            </c:spPr>
          </c:dPt>
          <c:dPt>
            <c:idx val="3"/>
            <c:bubble3D val="0"/>
            <c:spPr>
              <a:solidFill>
                <a:srgbClr val="8064A2"/>
              </a:solidFill>
              <a:ln w="25400">
                <a:solidFill>
                  <a:srgbClr val="FFFFFF"/>
                </a:solidFill>
              </a:ln>
              <a:effectLst/>
              <a:scene3d>
                <a:camera prst="orthographicFront"/>
                <a:lightRig rig="threePt" dir="t"/>
              </a:scene3d>
              <a:sp3d contourW="25400"/>
            </c:spPr>
          </c:dPt>
          <c:dPt>
            <c:idx val="4"/>
            <c:bubble3D val="0"/>
            <c:spPr>
              <a:solidFill>
                <a:srgbClr val="4BACC6"/>
              </a:solidFill>
              <a:ln w="25400">
                <a:solidFill>
                  <a:srgbClr val="FFFFFF"/>
                </a:solidFill>
              </a:ln>
              <a:effectLst/>
              <a:scene3d>
                <a:camera prst="orthographicFront"/>
                <a:lightRig rig="threePt" dir="t"/>
              </a:scene3d>
              <a:sp3d contourW="25400"/>
            </c:spPr>
          </c:dPt>
          <c:dPt>
            <c:idx val="5"/>
            <c:bubble3D val="0"/>
            <c:spPr>
              <a:solidFill>
                <a:srgbClr val="F79646"/>
              </a:solidFill>
              <a:ln w="25400">
                <a:solidFill>
                  <a:srgbClr val="FFFFFF"/>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'[廊坊市大厂回族自治县退役军人事务局（本级）决算公开表.XLS]Z03 收入决算表(公开02表)'!$P$8:$U$8</c:f>
              <c:strCache>
                <c:ptCount val="6"/>
                <c:pt idx="0">
                  <c:v>财政拨款收入</c:v>
                </c:pt>
                <c:pt idx="1">
                  <c:v>上级补助收入</c:v>
                </c:pt>
                <c:pt idx="2">
                  <c:v>事业收入</c:v>
                </c:pt>
                <c:pt idx="3">
                  <c:v>经营收入</c:v>
                </c:pt>
                <c:pt idx="4">
                  <c:v>附属单位上缴收入</c:v>
                </c:pt>
                <c:pt idx="5">
                  <c:v>其他收入</c:v>
                </c:pt>
              </c:strCache>
            </c:strRef>
          </c:cat>
          <c:val>
            <c:numRef>
              <c:f>'[廊坊市大厂回族自治县退役军人事务局（本级）决算公开表.XLS]Z03 收入决算表(公开02表)'!$P$9:$U$9</c:f>
              <c:numCache>
                <c:formatCode>#,##0.00</c:formatCode>
                <c:ptCount val="6"/>
                <c:pt idx="0">
                  <c:v>2207.67</c:v>
                </c:pt>
                <c:pt idx="1" c:formatCode="General">
                  <c:v>0</c:v>
                </c:pt>
                <c:pt idx="2" c:formatCode="General">
                  <c:v>0</c:v>
                </c:pt>
                <c:pt idx="3" c:formatCode="General">
                  <c:v>0</c:v>
                </c:pt>
                <c:pt idx="4" c:formatCode="General">
                  <c:v>0</c:v>
                </c:pt>
                <c:pt idx="5" c:formatCode="General">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图2：支出决算结构饼状图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88888888888889"/>
          <c:y val="0.159027777777778"/>
          <c:w val="0.938888888888889"/>
          <c:h val="0.667824074074074"/>
        </c:manualLayout>
      </c:layout>
      <c:pie3DChart>
        <c:varyColors val="1"/>
        <c:ser>
          <c:idx val="0"/>
          <c:order val="0"/>
          <c:spPr>
            <a:scene3d>
              <a:camera prst="orthographicFront"/>
              <a:lightRig rig="threePt" dir="t"/>
            </a:scene3d>
            <a:sp3d contourW="25400"/>
          </c:spPr>
          <c:explosion val="0"/>
          <c:dPt>
            <c:idx val="0"/>
            <c:bubble3D val="0"/>
            <c:spPr>
              <a:solidFill>
                <a:srgbClr val="4F81BD"/>
              </a:solidFill>
              <a:ln w="25400">
                <a:solidFill>
                  <a:srgbClr val="FFFFFF"/>
                </a:solidFill>
              </a:ln>
              <a:effectLst/>
              <a:scene3d>
                <a:camera prst="orthographicFront"/>
                <a:lightRig rig="threePt" dir="t"/>
              </a:scene3d>
              <a:sp3d contourW="25400"/>
            </c:spPr>
          </c:dPt>
          <c:dPt>
            <c:idx val="1"/>
            <c:bubble3D val="0"/>
            <c:spPr>
              <a:solidFill>
                <a:srgbClr val="C0504D"/>
              </a:solidFill>
              <a:ln w="25400">
                <a:solidFill>
                  <a:srgbClr val="FFFFFF"/>
                </a:solidFill>
              </a:ln>
              <a:effectLst/>
              <a:scene3d>
                <a:camera prst="orthographicFront"/>
                <a:lightRig rig="threePt" dir="t"/>
              </a:scene3d>
              <a:sp3d contourW="25400"/>
            </c:spPr>
          </c:dPt>
          <c:dPt>
            <c:idx val="2"/>
            <c:bubble3D val="0"/>
            <c:spPr>
              <a:solidFill>
                <a:srgbClr val="9BBB59"/>
              </a:solidFill>
              <a:ln w="25400">
                <a:solidFill>
                  <a:srgbClr val="FFFFFF"/>
                </a:solidFill>
              </a:ln>
              <a:effectLst/>
              <a:scene3d>
                <a:camera prst="orthographicFront"/>
                <a:lightRig rig="threePt" dir="t"/>
              </a:scene3d>
              <a:sp3d contourW="25400"/>
            </c:spPr>
          </c:dPt>
          <c:dLbls>
            <c:dLbl>
              <c:idx val="0"/>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12361111111111"/>
                      <c:h val="0.13703703703703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'[廊坊市大厂回族自治县退役军人事务局（本级）决算公开表.XLS]Z03 收入决算表(公开02表)'!$R$15:$T$15</c:f>
              <c:strCache>
                <c:ptCount val="3"/>
                <c:pt idx="0">
                  <c:v>基本支出</c:v>
                </c:pt>
                <c:pt idx="1">
                  <c:v>项目支出</c:v>
                </c:pt>
                <c:pt idx="2">
                  <c:v>经营支出</c:v>
                </c:pt>
              </c:strCache>
            </c:strRef>
          </c:cat>
          <c:val>
            <c:numRef>
              <c:f>'[廊坊市大厂回族自治县退役军人事务局（本级）决算公开表.XLS]Z03 收入决算表(公开02表)'!$R$16:$T$16</c:f>
              <c:numCache>
                <c:formatCode>General</c:formatCode>
                <c:ptCount val="3"/>
                <c:pt idx="0">
                  <c:v>164.9</c:v>
                </c:pt>
                <c:pt idx="1">
                  <c:v>1864.56</c:v>
                </c:pt>
                <c:pt idx="2">
                  <c:v>0</c:v>
                </c:pt>
              </c:numCache>
            </c:numRef>
          </c:val>
        </c:ser>
        <c:ser>
          <c:idx val="1"/>
          <c:order val="1"/>
          <c:spPr/>
          <c:explosion val="0"/>
          <c:dPt>
            <c:idx val="0"/>
            <c:bubble3D val="0"/>
            <c:spPr>
              <a:solidFill>
                <a:srgbClr val="4F81BD"/>
              </a:solidFill>
              <a:ln w="25400">
                <a:solidFill>
                  <a:srgbClr val="FFFFFF"/>
                </a:solidFill>
              </a:ln>
              <a:effectLst/>
            </c:spPr>
          </c:dPt>
          <c:dPt>
            <c:idx val="1"/>
            <c:bubble3D val="0"/>
            <c:spPr>
              <a:solidFill>
                <a:srgbClr val="C0504D"/>
              </a:solidFill>
              <a:ln w="25400">
                <a:solidFill>
                  <a:srgbClr val="FFFFFF"/>
                </a:solidFill>
              </a:ln>
              <a:effectLst/>
            </c:spPr>
          </c:dPt>
          <c:dPt>
            <c:idx val="2"/>
            <c:bubble3D val="0"/>
            <c:spPr>
              <a:solidFill>
                <a:srgbClr val="9BBB59"/>
              </a:solidFill>
              <a:ln w="2540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'[廊坊市大厂回族自治县退役军人事务局（本级）决算公开表.XLS]Z03 收入决算表(公开02表)'!$R$15:$T$15</c:f>
              <c:strCache>
                <c:ptCount val="3"/>
                <c:pt idx="0">
                  <c:v>基本支出</c:v>
                </c:pt>
                <c:pt idx="1">
                  <c:v>项目支出</c:v>
                </c:pt>
                <c:pt idx="2">
                  <c:v>经营支出</c:v>
                </c:pt>
              </c:strCache>
            </c:strRef>
          </c:cat>
          <c:val>
            <c:numRef>
              <c:f>'[廊坊市大厂回族自治县退役军人事务局（本级）决算公开表.XLS]Z03 收入决算表(公开02表)'!$R$17:$T$17</c:f>
              <c:numCache>
                <c:formatCode>0.00%</c:formatCode>
                <c:ptCount val="3"/>
                <c:pt idx="0">
                  <c:v>0.0812527408633781</c:v>
                </c:pt>
                <c:pt idx="1">
                  <c:v>0.918742331741785</c:v>
                </c:pt>
                <c:pt idx="2" c:formatCode="0%">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t>图</a:t>
            </a:r>
            <a:r>
              <a:rPr lang="en-US" altLang="zh-CN"/>
              <a:t>3</a:t>
            </a:r>
            <a:r>
              <a:t>：财政拨款支出决算结构（按功能分类）</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rgbClr val="4F81BD"/>
              </a:solidFill>
              <a:ln w="25400">
                <a:solidFill>
                  <a:srgbClr val="FFFFFF"/>
                </a:solidFill>
              </a:ln>
              <a:effectLst/>
              <a:scene3d>
                <a:camera prst="orthographicFront"/>
                <a:lightRig rig="threePt" dir="t"/>
              </a:scene3d>
              <a:sp3d contourW="25400"/>
            </c:spPr>
          </c:dPt>
          <c:dPt>
            <c:idx val="1"/>
            <c:bubble3D val="0"/>
            <c:spPr>
              <a:solidFill>
                <a:srgbClr val="C0504D"/>
              </a:solidFill>
              <a:ln w="25400">
                <a:solidFill>
                  <a:srgbClr val="FFFFFF"/>
                </a:solidFill>
              </a:ln>
              <a:effectLst/>
              <a:scene3d>
                <a:camera prst="orthographicFront"/>
                <a:lightRig rig="threePt" dir="t"/>
              </a:scene3d>
              <a:sp3d contourW="25400"/>
            </c:spPr>
          </c:dPt>
          <c:dPt>
            <c:idx val="2"/>
            <c:bubble3D val="0"/>
            <c:spPr>
              <a:solidFill>
                <a:srgbClr val="9BBB59"/>
              </a:solidFill>
              <a:ln w="25400">
                <a:solidFill>
                  <a:srgbClr val="FFFFFF"/>
                </a:solidFill>
              </a:ln>
              <a:effectLst/>
              <a:scene3d>
                <a:camera prst="orthographicFront"/>
                <a:lightRig rig="threePt" dir="t"/>
              </a:scene3d>
              <a:sp3d contourW="25400"/>
            </c:spPr>
          </c:dPt>
          <c:dLbls>
            <c:dLbl>
              <c:idx val="1"/>
              <c:layout>
                <c:manualLayout>
                  <c:x val="0.15"/>
                  <c:y val="-0.00694444444444444"/>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10972222222222"/>
                      <c:h val="0.196759259259259"/>
                    </c:manualLayout>
                  </c15:layout>
                </c:ext>
              </c:extLst>
            </c:dLbl>
            <c:dLbl>
              <c:idx val="2"/>
              <c:layout>
                <c:manualLayout>
                  <c:x val="-0.101962507854781"/>
                  <c:y val="-0.0162061655039615"/>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34722222222222"/>
                      <c:h val="0.16643518518518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28575" cap="flat" cmpd="sng" algn="ctr">
                      <a:solidFill>
                        <a:srgbClr val="A6A6A6">
                          <a:lumMod val="35000"/>
                          <a:lumOff val="65000"/>
                        </a:srgbClr>
                      </a:solidFill>
                      <a:prstDash val="solid"/>
                      <a:round/>
                    </a:ln>
                    <a:effectLst/>
                  </c:spPr>
                </c15:leaderLines>
              </c:ext>
            </c:extLst>
          </c:dLbls>
          <c:cat>
            <c:strRef>
              <c:f>'[廊坊市大厂回族自治县退役军人事务局（本级）决算公开表.XLS]Sheet2'!$K$6:$M$6</c:f>
              <c:strCache>
                <c:ptCount val="3"/>
                <c:pt idx="0">
                  <c:v>社会保障和就业支出</c:v>
                </c:pt>
                <c:pt idx="1">
                  <c:v>医疗卫生与计划生育支出</c:v>
                </c:pt>
                <c:pt idx="2">
                  <c:v>住房保障支出</c:v>
                </c:pt>
              </c:strCache>
            </c:strRef>
          </c:cat>
          <c:val>
            <c:numRef>
              <c:f>'[廊坊市大厂回族自治县退役军人事务局（本级）决算公开表.XLS]Sheet2'!$K$7:$M$7</c:f>
              <c:numCache>
                <c:formatCode>General</c:formatCode>
                <c:ptCount val="3"/>
                <c:pt idx="0">
                  <c:v>2023.26</c:v>
                </c:pt>
                <c:pt idx="1">
                  <c:v>2.33</c:v>
                </c:pt>
                <c:pt idx="2">
                  <c:v>3.88</c:v>
                </c:pt>
              </c:numCache>
            </c:numRef>
          </c:val>
        </c:ser>
        <c:ser>
          <c:idx val="1"/>
          <c:order val="1"/>
          <c:spPr/>
          <c:explosion val="0"/>
          <c:dPt>
            <c:idx val="0"/>
            <c:bubble3D val="0"/>
            <c:spPr>
              <a:solidFill>
                <a:srgbClr val="4F81BD"/>
              </a:solidFill>
              <a:ln w="25400">
                <a:solidFill>
                  <a:srgbClr val="FFFFFF"/>
                </a:solidFill>
              </a:ln>
              <a:effectLst/>
            </c:spPr>
          </c:dPt>
          <c:dPt>
            <c:idx val="1"/>
            <c:bubble3D val="0"/>
            <c:spPr>
              <a:solidFill>
                <a:srgbClr val="C0504D"/>
              </a:solidFill>
              <a:ln w="25400">
                <a:solidFill>
                  <a:srgbClr val="FFFFFF"/>
                </a:solidFill>
              </a:ln>
              <a:effectLst/>
            </c:spPr>
          </c:dPt>
          <c:dPt>
            <c:idx val="2"/>
            <c:bubble3D val="0"/>
            <c:spPr>
              <a:solidFill>
                <a:srgbClr val="9BBB59"/>
              </a:solidFill>
              <a:ln w="2540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'[廊坊市大厂回族自治县退役军人事务局（本级）决算公开表.XLS]Sheet2'!$K$6:$M$6</c:f>
              <c:strCache>
                <c:ptCount val="3"/>
                <c:pt idx="0">
                  <c:v>社会保障和就业支出</c:v>
                </c:pt>
                <c:pt idx="1">
                  <c:v>医疗卫生与计划生育支出</c:v>
                </c:pt>
                <c:pt idx="2">
                  <c:v>住房保障支出</c:v>
                </c:pt>
              </c:strCache>
            </c:strRef>
          </c:cat>
          <c:val>
            <c:numRef>
              <c:f>'[廊坊市大厂回族自治县退役军人事务局（本级）决算公开表.XLS]Sheet2'!$K$8:$M$8</c:f>
              <c:numCache>
                <c:formatCode>0.00%</c:formatCode>
                <c:ptCount val="3"/>
                <c:pt idx="0">
                  <c:v>0.996940087806176</c:v>
                </c:pt>
                <c:pt idx="1">
                  <c:v>0.00114808299703864</c:v>
                </c:pt>
                <c:pt idx="2">
                  <c:v>0.00191182919678537</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0</TotalTime>
  <ScaleCrop>false</ScaleCrop>
  <LinksUpToDate>false</LinksUpToDate>
  <CharactersWithSpaces>13121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dctyj</cp:lastModifiedBy>
  <cp:lastPrinted>2021-05-19T09:03:00Z</cp:lastPrinted>
  <dcterms:modified xsi:type="dcterms:W3CDTF">2021-05-27T01:53:07Z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